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90B901" w14:textId="76EE74D4" w:rsidR="00EA2C32" w:rsidRPr="00797648" w:rsidRDefault="00905CD3" w:rsidP="00720E1A">
      <w:pPr>
        <w:pStyle w:val="Date1"/>
        <w:ind w:left="6237" w:firstLine="0"/>
        <w:jc w:val="right"/>
        <w:rPr>
          <w:lang w:val="en-GB"/>
        </w:rPr>
      </w:pPr>
      <w:r w:rsidRPr="00797648">
        <w:rPr>
          <w:lang w:val="en-GB"/>
        </w:rPr>
        <w:t>Bru</w:t>
      </w:r>
      <w:r w:rsidR="000E7D60" w:rsidRPr="00797648">
        <w:rPr>
          <w:lang w:val="en-GB"/>
        </w:rPr>
        <w:t>sse</w:t>
      </w:r>
      <w:r w:rsidRPr="00797648">
        <w:rPr>
          <w:lang w:val="en-GB"/>
        </w:rPr>
        <w:t xml:space="preserve">ls, </w:t>
      </w:r>
      <w:r w:rsidR="00853FEE">
        <w:rPr>
          <w:lang w:val="en-GB"/>
        </w:rPr>
        <w:t>2024</w:t>
      </w:r>
    </w:p>
    <w:p w14:paraId="6A002437" w14:textId="3701B792" w:rsidR="000E7D60" w:rsidRPr="004032EF" w:rsidRDefault="00DF7D4E" w:rsidP="00E17D80">
      <w:pPr>
        <w:pStyle w:val="Title"/>
      </w:pPr>
      <w:r>
        <w:t>Joint industry statement</w:t>
      </w:r>
      <w:r w:rsidR="00F51BC4">
        <w:t xml:space="preserve"> on</w:t>
      </w:r>
      <w:r w:rsidR="00380A0A" w:rsidRPr="004032EF">
        <w:t xml:space="preserve"> </w:t>
      </w:r>
      <w:r w:rsidRPr="00DF7D4E">
        <w:t>Persistent organic pollutants</w:t>
      </w:r>
      <w:r w:rsidR="00F51BC4">
        <w:t xml:space="preserve"> </w:t>
      </w:r>
      <w:r w:rsidRPr="00DF7D4E">
        <w:t>- UV-328</w:t>
      </w:r>
    </w:p>
    <w:p w14:paraId="63F62670" w14:textId="19D5360C" w:rsidR="00001B2D" w:rsidRDefault="004032EF" w:rsidP="00B44795">
      <w:r>
        <w:t xml:space="preserve">The undersigned </w:t>
      </w:r>
      <w:r w:rsidR="003023A3">
        <w:t>Associations</w:t>
      </w:r>
      <w:r w:rsidR="00196864">
        <w:t xml:space="preserve">, </w:t>
      </w:r>
      <w:r w:rsidR="003101A7">
        <w:t>representing the recycling and waste management industry at European level,</w:t>
      </w:r>
      <w:r w:rsidR="00CB0419">
        <w:t xml:space="preserve"> </w:t>
      </w:r>
      <w:r w:rsidR="00AB7F49">
        <w:t>support</w:t>
      </w:r>
      <w:r w:rsidR="004F5502">
        <w:t xml:space="preserve"> the general objective of the Stockholm Convention to eliminate Persistent Organic Pollutants and its EU Implementation under the POP</w:t>
      </w:r>
      <w:r w:rsidR="00275B2B">
        <w:t>s</w:t>
      </w:r>
      <w:r w:rsidR="004F5502">
        <w:t xml:space="preserve"> Regulation</w:t>
      </w:r>
      <w:r w:rsidR="00400251">
        <w:t>. With this paper, we</w:t>
      </w:r>
      <w:r w:rsidR="004F5502">
        <w:t xml:space="preserve"> </w:t>
      </w:r>
      <w:r w:rsidR="003101A7">
        <w:t>would like to express</w:t>
      </w:r>
      <w:r w:rsidR="00400251">
        <w:t xml:space="preserve"> our</w:t>
      </w:r>
      <w:r w:rsidR="003101A7">
        <w:t xml:space="preserve"> joint views regarding the</w:t>
      </w:r>
      <w:r w:rsidR="002108E0">
        <w:t xml:space="preserve"> </w:t>
      </w:r>
      <w:r w:rsidR="000B6203">
        <w:t xml:space="preserve">EC </w:t>
      </w:r>
      <w:r w:rsidR="00645F7B">
        <w:t xml:space="preserve">draft delegated act amending the </w:t>
      </w:r>
      <w:r w:rsidR="00EE661F">
        <w:t>A</w:t>
      </w:r>
      <w:r w:rsidR="00645F7B">
        <w:t>nnex I of the POPs</w:t>
      </w:r>
      <w:r w:rsidR="00EE661F">
        <w:t xml:space="preserve"> Regulation </w:t>
      </w:r>
      <w:r w:rsidR="000B6203">
        <w:t>to set the</w:t>
      </w:r>
      <w:r w:rsidR="003101A7">
        <w:t xml:space="preserve"> Unintentional Trace Contaminant (UTC) limit for UV-328</w:t>
      </w:r>
      <w:r w:rsidR="000B6203">
        <w:t xml:space="preserve"> at </w:t>
      </w:r>
      <w:r w:rsidR="005A58FF">
        <w:t>1 ppm (</w:t>
      </w:r>
      <w:r w:rsidR="00FB7684">
        <w:t xml:space="preserve">1 mg/kg; </w:t>
      </w:r>
      <w:r w:rsidR="00013E5F">
        <w:t>0,0001% by weight</w:t>
      </w:r>
      <w:r w:rsidR="005A58FF">
        <w:t>)</w:t>
      </w:r>
      <w:r w:rsidR="005B6B16">
        <w:t>.</w:t>
      </w:r>
    </w:p>
    <w:p w14:paraId="3161EB20" w14:textId="77777777" w:rsidR="00BC0C16" w:rsidRPr="004670DA" w:rsidRDefault="00BC0C16" w:rsidP="00BC0C16">
      <w:pPr>
        <w:pStyle w:val="Introduction"/>
        <w:rPr>
          <w:lang w:val="en-US"/>
        </w:rPr>
      </w:pPr>
      <w:r w:rsidRPr="004670DA">
        <w:rPr>
          <w:lang w:val="en-US"/>
        </w:rPr>
        <w:t>UV-328 and Benzotriazoles in r</w:t>
      </w:r>
      <w:r>
        <w:rPr>
          <w:lang w:val="en-US"/>
        </w:rPr>
        <w:t>ecyclates</w:t>
      </w:r>
    </w:p>
    <w:p w14:paraId="56BFF690" w14:textId="6D1880FA" w:rsidR="007408F5" w:rsidRDefault="008F5DF0" w:rsidP="004B0910">
      <w:r>
        <w:rPr>
          <w:lang w:val="en-US"/>
        </w:rPr>
        <w:t xml:space="preserve">As </w:t>
      </w:r>
      <w:r w:rsidR="004B0910">
        <w:rPr>
          <w:lang w:val="en-US"/>
        </w:rPr>
        <w:t>UV-328</w:t>
      </w:r>
      <w:r w:rsidR="00E82B29">
        <w:rPr>
          <w:lang w:val="en-US"/>
        </w:rPr>
        <w:t xml:space="preserve"> is </w:t>
      </w:r>
      <w:r w:rsidR="666499C5">
        <w:rPr>
          <w:lang w:val="en-US"/>
        </w:rPr>
        <w:t>a</w:t>
      </w:r>
      <w:r w:rsidR="00E82B29">
        <w:rPr>
          <w:lang w:val="en-US"/>
        </w:rPr>
        <w:t xml:space="preserve"> highly effective </w:t>
      </w:r>
      <w:r w:rsidR="00E82B29" w:rsidRPr="003F573F">
        <w:rPr>
          <w:lang w:val="en-US"/>
        </w:rPr>
        <w:t>UV absorber</w:t>
      </w:r>
      <w:r w:rsidR="00307970">
        <w:rPr>
          <w:rStyle w:val="FootnoteReference"/>
          <w:lang w:val="en-US"/>
        </w:rPr>
        <w:footnoteReference w:id="2"/>
      </w:r>
      <w:r w:rsidR="00E82B29">
        <w:rPr>
          <w:lang w:val="en-US"/>
        </w:rPr>
        <w:t xml:space="preserve">, </w:t>
      </w:r>
      <w:r w:rsidR="004B0910">
        <w:rPr>
          <w:lang w:val="en-US"/>
        </w:rPr>
        <w:t>this</w:t>
      </w:r>
      <w:r w:rsidR="00D03609">
        <w:rPr>
          <w:lang w:val="en-US"/>
        </w:rPr>
        <w:t xml:space="preserve"> </w:t>
      </w:r>
      <w:r w:rsidR="00D03609">
        <w:t>benzotriazole</w:t>
      </w:r>
      <w:r w:rsidR="008755A8">
        <w:t xml:space="preserve"> compound</w:t>
      </w:r>
      <w:r w:rsidR="003F573F" w:rsidRPr="003F573F">
        <w:rPr>
          <w:lang w:val="en-US"/>
        </w:rPr>
        <w:t xml:space="preserve"> </w:t>
      </w:r>
      <w:r w:rsidR="004B0910">
        <w:rPr>
          <w:lang w:val="en-US"/>
        </w:rPr>
        <w:t xml:space="preserve">can be </w:t>
      </w:r>
      <w:r w:rsidR="00BF1F4C">
        <w:rPr>
          <w:lang w:val="en-US"/>
        </w:rPr>
        <w:t>used</w:t>
      </w:r>
      <w:r w:rsidR="003F573F">
        <w:rPr>
          <w:lang w:val="en-US"/>
        </w:rPr>
        <w:t xml:space="preserve"> in low concentrations</w:t>
      </w:r>
      <w:r w:rsidR="008C37AC">
        <w:rPr>
          <w:lang w:val="en-US"/>
        </w:rPr>
        <w:t xml:space="preserve">, </w:t>
      </w:r>
      <w:r w:rsidR="005E1D6C">
        <w:rPr>
          <w:lang w:val="en-US"/>
        </w:rPr>
        <w:t xml:space="preserve">as a light stabilizer </w:t>
      </w:r>
      <w:r w:rsidR="005F3AD8">
        <w:rPr>
          <w:lang w:val="en-US"/>
        </w:rPr>
        <w:t xml:space="preserve">for </w:t>
      </w:r>
      <w:r w:rsidR="00322F6D">
        <w:rPr>
          <w:lang w:val="en-US"/>
        </w:rPr>
        <w:t>various</w:t>
      </w:r>
      <w:r w:rsidR="005F3AD8">
        <w:rPr>
          <w:lang w:val="en-US"/>
        </w:rPr>
        <w:t xml:space="preserve"> plastics and other substrates.</w:t>
      </w:r>
      <w:r w:rsidR="009D0018">
        <w:rPr>
          <w:lang w:val="en-US"/>
        </w:rPr>
        <w:t xml:space="preserve"> As for plastics, t</w:t>
      </w:r>
      <w:r w:rsidR="000C7D42">
        <w:rPr>
          <w:lang w:val="en-US"/>
        </w:rPr>
        <w:t>his substance</w:t>
      </w:r>
      <w:r w:rsidR="004F05DD">
        <w:rPr>
          <w:lang w:val="en-US"/>
        </w:rPr>
        <w:t xml:space="preserve"> does not </w:t>
      </w:r>
      <w:r w:rsidR="005C1E8D">
        <w:rPr>
          <w:lang w:val="en-US"/>
        </w:rPr>
        <w:t xml:space="preserve">significantly change </w:t>
      </w:r>
      <w:r w:rsidR="005C1E8D" w:rsidRPr="005C1E8D">
        <w:t>physical</w:t>
      </w:r>
      <w:r w:rsidR="005C1E8D">
        <w:t xml:space="preserve"> and/or </w:t>
      </w:r>
      <w:r w:rsidR="005C1E8D" w:rsidRPr="005C1E8D">
        <w:t xml:space="preserve">mechanical property </w:t>
      </w:r>
      <w:r w:rsidR="005C1E8D">
        <w:t>of</w:t>
      </w:r>
      <w:r w:rsidR="005C1E8D" w:rsidRPr="005C1E8D">
        <w:t xml:space="preserve"> the material</w:t>
      </w:r>
      <w:r w:rsidR="000C7D42">
        <w:t xml:space="preserve">, hence </w:t>
      </w:r>
      <w:r w:rsidR="00757EC9">
        <w:t xml:space="preserve">as of today there is no </w:t>
      </w:r>
      <w:r w:rsidR="00757EC9" w:rsidRPr="00757EC9">
        <w:t xml:space="preserve">way to separate plastics containing UV-328 from plastics not containing UV-328. Furthermore, no technology exists that would be able to remove UV-328 from a polymer matrix in an environmentally friendly or </w:t>
      </w:r>
      <w:r w:rsidR="6676DE1A" w:rsidRPr="00757EC9">
        <w:t>cost-effective</w:t>
      </w:r>
      <w:r w:rsidR="00757EC9" w:rsidRPr="00757EC9">
        <w:t xml:space="preserve"> manner.</w:t>
      </w:r>
      <w:r w:rsidR="00990E95">
        <w:t xml:space="preserve"> </w:t>
      </w:r>
    </w:p>
    <w:p w14:paraId="10256FF1" w14:textId="3780C544" w:rsidR="00AD45D8" w:rsidRDefault="00A51D2A" w:rsidP="00AD45D8">
      <w:r>
        <w:t>Within its membership,</w:t>
      </w:r>
      <w:r w:rsidR="0050589E">
        <w:t xml:space="preserve"> </w:t>
      </w:r>
      <w:r w:rsidR="00965589">
        <w:t>P</w:t>
      </w:r>
      <w:r w:rsidR="00E13D30">
        <w:t>RE carrie</w:t>
      </w:r>
      <w:r w:rsidR="0050589E">
        <w:t>d</w:t>
      </w:r>
      <w:r w:rsidR="00E13D30">
        <w:t xml:space="preserve"> out </w:t>
      </w:r>
      <w:r w:rsidR="00965589">
        <w:t>an</w:t>
      </w:r>
      <w:r w:rsidR="00AD45D8">
        <w:t xml:space="preserve"> initiative for screening substances of concern in recyclate,</w:t>
      </w:r>
      <w:r w:rsidR="0094101E">
        <w:t xml:space="preserve"> where</w:t>
      </w:r>
      <w:r w:rsidR="00AD45D8">
        <w:t xml:space="preserve"> samples of recyclate </w:t>
      </w:r>
      <w:r>
        <w:t>were</w:t>
      </w:r>
      <w:r w:rsidR="0094101E">
        <w:t xml:space="preserve"> collected, </w:t>
      </w:r>
      <w:r w:rsidR="00AD45D8">
        <w:t>across different plastics streams</w:t>
      </w:r>
      <w:r>
        <w:t xml:space="preserve"> and industries</w:t>
      </w:r>
      <w:r w:rsidR="00AD45D8">
        <w:t xml:space="preserve">. </w:t>
      </w:r>
      <w:r w:rsidR="000127AA">
        <w:t>For this screening</w:t>
      </w:r>
      <w:r w:rsidR="00AD45D8">
        <w:t>, extruded plaques</w:t>
      </w:r>
      <w:r w:rsidR="000127AA">
        <w:t xml:space="preserve">, made out of </w:t>
      </w:r>
      <w:r w:rsidR="00AD45D8">
        <w:t>recycled flakes or pellets</w:t>
      </w:r>
      <w:r w:rsidR="000127AA">
        <w:t xml:space="preserve">, </w:t>
      </w:r>
      <w:r w:rsidR="00704101">
        <w:t>were</w:t>
      </w:r>
      <w:r w:rsidR="000127AA">
        <w:t xml:space="preserve"> employed</w:t>
      </w:r>
      <w:r w:rsidR="00AD45D8">
        <w:t xml:space="preserve"> </w:t>
      </w:r>
      <w:r w:rsidR="00D11EC3">
        <w:t>(please refer to</w:t>
      </w:r>
      <w:r w:rsidR="00AD45D8">
        <w:t xml:space="preserve"> </w:t>
      </w:r>
      <w:r w:rsidR="00AD45D8" w:rsidRPr="00AB2EA8">
        <w:rPr>
          <w:color w:val="428DCC" w:themeColor="accent1"/>
        </w:rPr>
        <w:t>Annex I</w:t>
      </w:r>
      <w:r w:rsidR="00AD45D8">
        <w:t xml:space="preserve"> </w:t>
      </w:r>
      <w:r w:rsidR="00D11EC3">
        <w:t>of this document for further explanation).</w:t>
      </w:r>
      <w:r w:rsidR="00B36B40">
        <w:t xml:space="preserve"> This initiative was launched by PRE also with the aim of establishing</w:t>
      </w:r>
      <w:r w:rsidR="00AD45D8">
        <w:t xml:space="preserve"> a ‘sample bank’ of samples that are representative of European Recyclate. </w:t>
      </w:r>
      <w:r w:rsidR="00704101">
        <w:t>For such measurement campaign, v</w:t>
      </w:r>
      <w:r w:rsidR="00AD45D8">
        <w:t xml:space="preserve">arious types of analysis were performed, spanning from XRF, GCMS and LCMS SVHC screening, to specific LCMS/MS techniques for </w:t>
      </w:r>
      <w:r w:rsidR="00CC5742">
        <w:t>target substances</w:t>
      </w:r>
      <w:r w:rsidR="00AD45D8">
        <w:t xml:space="preserve">. This resulted in a well characterized sample library of 100+ samples of material, representative of common varieties of plastics recyclate. </w:t>
      </w:r>
    </w:p>
    <w:p w14:paraId="1E9820BA" w14:textId="77777777" w:rsidR="00F05214" w:rsidRDefault="00AD45D8" w:rsidP="00F05214">
      <w:r>
        <w:t>A selection from this sample bank was used for a broad screening of benzotriazoles. Samples were selected to ensure the different recycling subsectors are included, within an appropriate range of donating companies, and of different sources. Measurements were carried out by</w:t>
      </w:r>
      <w:r w:rsidRPr="00A149BE">
        <w:t xml:space="preserve"> a renowned laboratory in Belgium that also does compliance testing for national authorities. </w:t>
      </w:r>
      <w:r w:rsidR="002E143F">
        <w:t xml:space="preserve">A wide range of benzotriazole </w:t>
      </w:r>
      <w:r w:rsidR="00E73C83">
        <w:t xml:space="preserve">was included in the testing programme, such as </w:t>
      </w:r>
      <w:r w:rsidRPr="00A149BE">
        <w:t>UV-320, UV-327, UV-328, and</w:t>
      </w:r>
      <w:r w:rsidR="00E73C83">
        <w:t xml:space="preserve"> others.</w:t>
      </w:r>
      <w:r w:rsidR="00F05214">
        <w:t xml:space="preserve"> </w:t>
      </w:r>
    </w:p>
    <w:p w14:paraId="73B40C38" w14:textId="13BEED09" w:rsidR="00F05214" w:rsidRPr="005D54BB" w:rsidRDefault="00F05214" w:rsidP="00F05214">
      <w:r>
        <w:t xml:space="preserve">The results of the broad spectrum benzotriazole screening can be seen in </w:t>
      </w:r>
      <w:r>
        <w:fldChar w:fldCharType="begin"/>
      </w:r>
      <w:r>
        <w:instrText xml:space="preserve"> REF _Ref158198131 \h </w:instrText>
      </w:r>
      <w:r>
        <w:fldChar w:fldCharType="separate"/>
      </w:r>
      <w:r>
        <w:t xml:space="preserve">Table </w:t>
      </w:r>
      <w:r>
        <w:rPr>
          <w:noProof/>
        </w:rPr>
        <w:t>1</w:t>
      </w:r>
      <w:r>
        <w:fldChar w:fldCharType="end"/>
      </w:r>
      <w:r>
        <w:t xml:space="preserve">. </w:t>
      </w:r>
      <w:r w:rsidRPr="00AB06DF">
        <w:rPr>
          <w:b/>
          <w:bCs/>
        </w:rPr>
        <w:t>None of the samples tested</w:t>
      </w:r>
      <w:r>
        <w:t xml:space="preserve"> showed any benzotriazole above the reporting limit of 0.01%. </w:t>
      </w:r>
    </w:p>
    <w:p w14:paraId="5D45BCB9" w14:textId="77777777" w:rsidR="00F05214" w:rsidRDefault="00F05214" w:rsidP="00F05214">
      <w:pPr>
        <w:pStyle w:val="Caption"/>
        <w:keepNext/>
      </w:pPr>
      <w:r>
        <w:lastRenderedPageBreak/>
        <w:t xml:space="preserve">Table </w:t>
      </w:r>
      <w:r>
        <w:fldChar w:fldCharType="begin"/>
      </w:r>
      <w:r>
        <w:instrText xml:space="preserve"> SEQ Table \* ARABIC </w:instrText>
      </w:r>
      <w:r>
        <w:fldChar w:fldCharType="separate"/>
      </w:r>
      <w:r>
        <w:rPr>
          <w:noProof/>
        </w:rPr>
        <w:t>1</w:t>
      </w:r>
      <w:r>
        <w:fldChar w:fldCharType="end"/>
      </w:r>
      <w:r>
        <w:t>. Results of the PRE Measurement Campaign into a broad spectrum Benzotriazoles analysis of various recyclate samples.</w:t>
      </w:r>
    </w:p>
    <w:tbl>
      <w:tblPr>
        <w:tblStyle w:val="GridTable1Light-Accent1"/>
        <w:tblW w:w="10800" w:type="dxa"/>
        <w:jc w:val="center"/>
        <w:tblLook w:val="04A0" w:firstRow="1" w:lastRow="0" w:firstColumn="1" w:lastColumn="0" w:noHBand="0" w:noVBand="1"/>
      </w:tblPr>
      <w:tblGrid>
        <w:gridCol w:w="912"/>
        <w:gridCol w:w="1146"/>
        <w:gridCol w:w="1871"/>
        <w:gridCol w:w="850"/>
        <w:gridCol w:w="850"/>
        <w:gridCol w:w="850"/>
        <w:gridCol w:w="850"/>
        <w:gridCol w:w="850"/>
        <w:gridCol w:w="850"/>
        <w:gridCol w:w="887"/>
        <w:gridCol w:w="887"/>
      </w:tblGrid>
      <w:tr w:rsidR="00F05214" w:rsidRPr="008D5C52" w14:paraId="53F3CD7B" w14:textId="77777777" w:rsidTr="00E202EA">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909" w:type="dxa"/>
            <w:noWrap/>
            <w:vAlign w:val="center"/>
            <w:hideMark/>
          </w:tcPr>
          <w:p w14:paraId="5765F320" w14:textId="77777777" w:rsidR="00F05214" w:rsidRPr="008D5C52" w:rsidRDefault="00F05214" w:rsidP="00E202EA">
            <w:pPr>
              <w:pStyle w:val="NoSpacing"/>
            </w:pPr>
            <w:r w:rsidRPr="008D5C52">
              <w:t>Sample ID</w:t>
            </w:r>
          </w:p>
        </w:tc>
        <w:tc>
          <w:tcPr>
            <w:tcW w:w="1146" w:type="dxa"/>
            <w:noWrap/>
            <w:hideMark/>
          </w:tcPr>
          <w:p w14:paraId="7D2CFE5E" w14:textId="77777777" w:rsidR="00F05214" w:rsidRPr="008D5C52" w:rsidRDefault="00F05214" w:rsidP="00E202EA">
            <w:pPr>
              <w:pStyle w:val="NoSpacing"/>
              <w:cnfStyle w:val="100000000000" w:firstRow="1" w:lastRow="0" w:firstColumn="0" w:lastColumn="0" w:oddVBand="0" w:evenVBand="0" w:oddHBand="0" w:evenHBand="0" w:firstRowFirstColumn="0" w:firstRowLastColumn="0" w:lastRowFirstColumn="0" w:lastRowLastColumn="0"/>
            </w:pPr>
            <w:r w:rsidRPr="008D5C52">
              <w:t>Recycling Industry Subsector</w:t>
            </w:r>
          </w:p>
        </w:tc>
        <w:tc>
          <w:tcPr>
            <w:tcW w:w="1871" w:type="dxa"/>
            <w:noWrap/>
            <w:vAlign w:val="center"/>
            <w:hideMark/>
          </w:tcPr>
          <w:p w14:paraId="422763FE" w14:textId="77777777" w:rsidR="00F05214" w:rsidRPr="008D5C52" w:rsidRDefault="00F05214" w:rsidP="00E202EA">
            <w:pPr>
              <w:pStyle w:val="NoSpacing"/>
              <w:cnfStyle w:val="100000000000" w:firstRow="1" w:lastRow="0" w:firstColumn="0" w:lastColumn="0" w:oddVBand="0" w:evenVBand="0" w:oddHBand="0" w:evenHBand="0" w:firstRowFirstColumn="0" w:firstRowLastColumn="0" w:lastRowFirstColumn="0" w:lastRowLastColumn="0"/>
            </w:pPr>
            <w:r w:rsidRPr="008D5C52">
              <w:t>Source</w:t>
            </w:r>
          </w:p>
        </w:tc>
        <w:tc>
          <w:tcPr>
            <w:tcW w:w="850" w:type="dxa"/>
            <w:noWrap/>
            <w:vAlign w:val="center"/>
            <w:hideMark/>
          </w:tcPr>
          <w:p w14:paraId="7C33ED3F" w14:textId="77777777" w:rsidR="00F05214" w:rsidRPr="008D5C52" w:rsidRDefault="00F05214" w:rsidP="00E202EA">
            <w:pPr>
              <w:pStyle w:val="NoSpacing"/>
              <w:cnfStyle w:val="100000000000" w:firstRow="1" w:lastRow="0" w:firstColumn="0" w:lastColumn="0" w:oddVBand="0" w:evenVBand="0" w:oddHBand="0" w:evenHBand="0" w:firstRowFirstColumn="0" w:firstRowLastColumn="0" w:lastRowFirstColumn="0" w:lastRowLastColumn="0"/>
            </w:pPr>
            <w:r w:rsidRPr="008D5C52">
              <w:t>UV 234</w:t>
            </w:r>
          </w:p>
        </w:tc>
        <w:tc>
          <w:tcPr>
            <w:tcW w:w="850" w:type="dxa"/>
            <w:noWrap/>
            <w:vAlign w:val="center"/>
            <w:hideMark/>
          </w:tcPr>
          <w:p w14:paraId="6F219241" w14:textId="77777777" w:rsidR="00F05214" w:rsidRPr="008D5C52" w:rsidRDefault="00F05214" w:rsidP="00E202EA">
            <w:pPr>
              <w:pStyle w:val="NoSpacing"/>
              <w:cnfStyle w:val="100000000000" w:firstRow="1" w:lastRow="0" w:firstColumn="0" w:lastColumn="0" w:oddVBand="0" w:evenVBand="0" w:oddHBand="0" w:evenHBand="0" w:firstRowFirstColumn="0" w:firstRowLastColumn="0" w:lastRowFirstColumn="0" w:lastRowLastColumn="0"/>
            </w:pPr>
            <w:r w:rsidRPr="008D5C52">
              <w:t>UV 320</w:t>
            </w:r>
          </w:p>
        </w:tc>
        <w:tc>
          <w:tcPr>
            <w:tcW w:w="850" w:type="dxa"/>
            <w:noWrap/>
            <w:vAlign w:val="center"/>
            <w:hideMark/>
          </w:tcPr>
          <w:p w14:paraId="75F4B7EE" w14:textId="77777777" w:rsidR="00F05214" w:rsidRPr="008D5C52" w:rsidRDefault="00F05214" w:rsidP="00E202EA">
            <w:pPr>
              <w:pStyle w:val="NoSpacing"/>
              <w:cnfStyle w:val="100000000000" w:firstRow="1" w:lastRow="0" w:firstColumn="0" w:lastColumn="0" w:oddVBand="0" w:evenVBand="0" w:oddHBand="0" w:evenHBand="0" w:firstRowFirstColumn="0" w:firstRowLastColumn="0" w:lastRowFirstColumn="0" w:lastRowLastColumn="0"/>
            </w:pPr>
            <w:r w:rsidRPr="008D5C52">
              <w:t>UV 326</w:t>
            </w:r>
          </w:p>
        </w:tc>
        <w:tc>
          <w:tcPr>
            <w:tcW w:w="850" w:type="dxa"/>
            <w:noWrap/>
            <w:vAlign w:val="center"/>
            <w:hideMark/>
          </w:tcPr>
          <w:p w14:paraId="48410A17" w14:textId="77777777" w:rsidR="00F05214" w:rsidRPr="008D5C52" w:rsidRDefault="00F05214" w:rsidP="00E202EA">
            <w:pPr>
              <w:pStyle w:val="NoSpacing"/>
              <w:cnfStyle w:val="100000000000" w:firstRow="1" w:lastRow="0" w:firstColumn="0" w:lastColumn="0" w:oddVBand="0" w:evenVBand="0" w:oddHBand="0" w:evenHBand="0" w:firstRowFirstColumn="0" w:firstRowLastColumn="0" w:lastRowFirstColumn="0" w:lastRowLastColumn="0"/>
            </w:pPr>
            <w:r w:rsidRPr="008D5C52">
              <w:t>UV 327</w:t>
            </w:r>
          </w:p>
        </w:tc>
        <w:tc>
          <w:tcPr>
            <w:tcW w:w="850" w:type="dxa"/>
            <w:noWrap/>
            <w:vAlign w:val="center"/>
            <w:hideMark/>
          </w:tcPr>
          <w:p w14:paraId="022CEC1A" w14:textId="77777777" w:rsidR="00F05214" w:rsidRPr="008D5C52" w:rsidRDefault="00F05214" w:rsidP="00E202EA">
            <w:pPr>
              <w:pStyle w:val="NoSpacing"/>
              <w:cnfStyle w:val="100000000000" w:firstRow="1" w:lastRow="0" w:firstColumn="0" w:lastColumn="0" w:oddVBand="0" w:evenVBand="0" w:oddHBand="0" w:evenHBand="0" w:firstRowFirstColumn="0" w:firstRowLastColumn="0" w:lastRowFirstColumn="0" w:lastRowLastColumn="0"/>
            </w:pPr>
            <w:r w:rsidRPr="008D5C52">
              <w:t>UV 328</w:t>
            </w:r>
          </w:p>
        </w:tc>
        <w:tc>
          <w:tcPr>
            <w:tcW w:w="850" w:type="dxa"/>
            <w:noWrap/>
            <w:vAlign w:val="center"/>
            <w:hideMark/>
          </w:tcPr>
          <w:p w14:paraId="106A4976" w14:textId="77777777" w:rsidR="00F05214" w:rsidRPr="008D5C52" w:rsidRDefault="00F05214" w:rsidP="00E202EA">
            <w:pPr>
              <w:pStyle w:val="NoSpacing"/>
              <w:cnfStyle w:val="100000000000" w:firstRow="1" w:lastRow="0" w:firstColumn="0" w:lastColumn="0" w:oddVBand="0" w:evenVBand="0" w:oddHBand="0" w:evenHBand="0" w:firstRowFirstColumn="0" w:firstRowLastColumn="0" w:lastRowFirstColumn="0" w:lastRowLastColumn="0"/>
            </w:pPr>
            <w:r w:rsidRPr="008D5C52">
              <w:t>UV 329</w:t>
            </w:r>
          </w:p>
        </w:tc>
        <w:tc>
          <w:tcPr>
            <w:tcW w:w="887" w:type="dxa"/>
            <w:noWrap/>
            <w:vAlign w:val="center"/>
            <w:hideMark/>
          </w:tcPr>
          <w:p w14:paraId="5890E732" w14:textId="77777777" w:rsidR="00F05214" w:rsidRPr="008D5C52" w:rsidRDefault="00F05214" w:rsidP="00E202EA">
            <w:pPr>
              <w:pStyle w:val="NoSpacing"/>
              <w:cnfStyle w:val="100000000000" w:firstRow="1" w:lastRow="0" w:firstColumn="0" w:lastColumn="0" w:oddVBand="0" w:evenVBand="0" w:oddHBand="0" w:evenHBand="0" w:firstRowFirstColumn="0" w:firstRowLastColumn="0" w:lastRowFirstColumn="0" w:lastRowLastColumn="0"/>
            </w:pPr>
            <w:r w:rsidRPr="008D5C52">
              <w:t>UV 350</w:t>
            </w:r>
          </w:p>
        </w:tc>
        <w:tc>
          <w:tcPr>
            <w:tcW w:w="887" w:type="dxa"/>
            <w:noWrap/>
            <w:vAlign w:val="center"/>
            <w:hideMark/>
          </w:tcPr>
          <w:p w14:paraId="4A0243E7" w14:textId="77777777" w:rsidR="00F05214" w:rsidRPr="008D5C52" w:rsidRDefault="00F05214" w:rsidP="00E202EA">
            <w:pPr>
              <w:pStyle w:val="NoSpacing"/>
              <w:cnfStyle w:val="100000000000" w:firstRow="1" w:lastRow="0" w:firstColumn="0" w:lastColumn="0" w:oddVBand="0" w:evenVBand="0" w:oddHBand="0" w:evenHBand="0" w:firstRowFirstColumn="0" w:firstRowLastColumn="0" w:lastRowFirstColumn="0" w:lastRowLastColumn="0"/>
            </w:pPr>
            <w:r w:rsidRPr="008D5C52">
              <w:t>UV P</w:t>
            </w:r>
          </w:p>
        </w:tc>
      </w:tr>
      <w:tr w:rsidR="00F05214" w:rsidRPr="008D5C52" w14:paraId="23E58B0B" w14:textId="77777777" w:rsidTr="00E202EA">
        <w:trPr>
          <w:trHeight w:val="300"/>
          <w:jc w:val="center"/>
        </w:trPr>
        <w:tc>
          <w:tcPr>
            <w:cnfStyle w:val="001000000000" w:firstRow="0" w:lastRow="0" w:firstColumn="1" w:lastColumn="0" w:oddVBand="0" w:evenVBand="0" w:oddHBand="0" w:evenHBand="0" w:firstRowFirstColumn="0" w:firstRowLastColumn="0" w:lastRowFirstColumn="0" w:lastRowLastColumn="0"/>
            <w:tcW w:w="909" w:type="dxa"/>
            <w:noWrap/>
            <w:vAlign w:val="center"/>
            <w:hideMark/>
          </w:tcPr>
          <w:p w14:paraId="4B1EDC59" w14:textId="77777777" w:rsidR="00F05214" w:rsidRPr="008D5C52" w:rsidRDefault="00F05214" w:rsidP="00E202EA">
            <w:pPr>
              <w:pStyle w:val="NoSpacing"/>
            </w:pPr>
            <w:r w:rsidRPr="008D5C52">
              <w:t>L0001</w:t>
            </w:r>
          </w:p>
        </w:tc>
        <w:tc>
          <w:tcPr>
            <w:tcW w:w="1146" w:type="dxa"/>
            <w:vMerge w:val="restart"/>
            <w:noWrap/>
            <w:vAlign w:val="center"/>
            <w:hideMark/>
          </w:tcPr>
          <w:p w14:paraId="79F8150D" w14:textId="77777777" w:rsidR="00F05214" w:rsidRPr="008D5C52" w:rsidRDefault="00F05214" w:rsidP="00E202EA">
            <w:pPr>
              <w:pStyle w:val="NoSpacing"/>
              <w:cnfStyle w:val="000000000000" w:firstRow="0" w:lastRow="0" w:firstColumn="0" w:lastColumn="0" w:oddVBand="0" w:evenVBand="0" w:oddHBand="0" w:evenHBand="0" w:firstRowFirstColumn="0" w:firstRowLastColumn="0" w:lastRowFirstColumn="0" w:lastRowLastColumn="0"/>
            </w:pPr>
            <w:r w:rsidRPr="008D5C52">
              <w:t>Flexible PP &amp; PE (28%)</w:t>
            </w:r>
          </w:p>
        </w:tc>
        <w:tc>
          <w:tcPr>
            <w:tcW w:w="1871" w:type="dxa"/>
            <w:noWrap/>
            <w:vAlign w:val="center"/>
            <w:hideMark/>
          </w:tcPr>
          <w:p w14:paraId="3D4C81F1" w14:textId="77777777" w:rsidR="00F05214" w:rsidRPr="008D5C52" w:rsidRDefault="00F05214" w:rsidP="00E202EA">
            <w:pPr>
              <w:pStyle w:val="NoSpacing"/>
              <w:cnfStyle w:val="000000000000" w:firstRow="0" w:lastRow="0" w:firstColumn="0" w:lastColumn="0" w:oddVBand="0" w:evenVBand="0" w:oddHBand="0" w:evenHBand="0" w:firstRowFirstColumn="0" w:firstRowLastColumn="0" w:lastRowFirstColumn="0" w:lastRowLastColumn="0"/>
              <w:rPr>
                <w:szCs w:val="20"/>
              </w:rPr>
            </w:pPr>
            <w:r w:rsidRPr="008D5C52">
              <w:rPr>
                <w:szCs w:val="20"/>
              </w:rPr>
              <w:t>Household Films</w:t>
            </w:r>
          </w:p>
        </w:tc>
        <w:tc>
          <w:tcPr>
            <w:tcW w:w="850" w:type="dxa"/>
            <w:noWrap/>
            <w:vAlign w:val="center"/>
            <w:hideMark/>
          </w:tcPr>
          <w:p w14:paraId="3B21DBE2"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1CFD4512"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3B4F8075"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73FFD5D4"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38BB113D"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7B91284C"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87" w:type="dxa"/>
            <w:noWrap/>
            <w:vAlign w:val="center"/>
            <w:hideMark/>
          </w:tcPr>
          <w:p w14:paraId="0AC3F555"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87" w:type="dxa"/>
            <w:noWrap/>
            <w:vAlign w:val="center"/>
            <w:hideMark/>
          </w:tcPr>
          <w:p w14:paraId="1AA76BF6"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r>
      <w:tr w:rsidR="00F05214" w:rsidRPr="008D5C52" w14:paraId="609D7506" w14:textId="77777777" w:rsidTr="00E202EA">
        <w:trPr>
          <w:trHeight w:val="300"/>
          <w:jc w:val="center"/>
        </w:trPr>
        <w:tc>
          <w:tcPr>
            <w:cnfStyle w:val="001000000000" w:firstRow="0" w:lastRow="0" w:firstColumn="1" w:lastColumn="0" w:oddVBand="0" w:evenVBand="0" w:oddHBand="0" w:evenHBand="0" w:firstRowFirstColumn="0" w:firstRowLastColumn="0" w:lastRowFirstColumn="0" w:lastRowLastColumn="0"/>
            <w:tcW w:w="909" w:type="dxa"/>
            <w:noWrap/>
            <w:vAlign w:val="center"/>
            <w:hideMark/>
          </w:tcPr>
          <w:p w14:paraId="3813F432" w14:textId="77777777" w:rsidR="00F05214" w:rsidRPr="008D5C52" w:rsidRDefault="00F05214" w:rsidP="00E202EA">
            <w:pPr>
              <w:pStyle w:val="NoSpacing"/>
            </w:pPr>
            <w:r w:rsidRPr="008D5C52">
              <w:t>L0006</w:t>
            </w:r>
          </w:p>
        </w:tc>
        <w:tc>
          <w:tcPr>
            <w:tcW w:w="1146" w:type="dxa"/>
            <w:vMerge/>
            <w:noWrap/>
            <w:vAlign w:val="center"/>
            <w:hideMark/>
          </w:tcPr>
          <w:p w14:paraId="708BFBC7" w14:textId="77777777" w:rsidR="00F05214" w:rsidRPr="008D5C52" w:rsidRDefault="00F05214" w:rsidP="00E202EA">
            <w:pPr>
              <w:pStyle w:val="NoSpacing"/>
              <w:cnfStyle w:val="000000000000" w:firstRow="0" w:lastRow="0" w:firstColumn="0" w:lastColumn="0" w:oddVBand="0" w:evenVBand="0" w:oddHBand="0" w:evenHBand="0" w:firstRowFirstColumn="0" w:firstRowLastColumn="0" w:lastRowFirstColumn="0" w:lastRowLastColumn="0"/>
            </w:pPr>
          </w:p>
        </w:tc>
        <w:tc>
          <w:tcPr>
            <w:tcW w:w="1871" w:type="dxa"/>
            <w:noWrap/>
            <w:vAlign w:val="center"/>
            <w:hideMark/>
          </w:tcPr>
          <w:p w14:paraId="4546E46C" w14:textId="77777777" w:rsidR="00F05214" w:rsidRPr="008D5C52" w:rsidRDefault="00F05214" w:rsidP="00E202EA">
            <w:pPr>
              <w:pStyle w:val="NoSpacing"/>
              <w:cnfStyle w:val="000000000000" w:firstRow="0" w:lastRow="0" w:firstColumn="0" w:lastColumn="0" w:oddVBand="0" w:evenVBand="0" w:oddHBand="0" w:evenHBand="0" w:firstRowFirstColumn="0" w:firstRowLastColumn="0" w:lastRowFirstColumn="0" w:lastRowLastColumn="0"/>
              <w:rPr>
                <w:szCs w:val="20"/>
              </w:rPr>
            </w:pPr>
            <w:r w:rsidRPr="008D5C52">
              <w:rPr>
                <w:szCs w:val="20"/>
              </w:rPr>
              <w:t>Shrink film neutral thin</w:t>
            </w:r>
          </w:p>
        </w:tc>
        <w:tc>
          <w:tcPr>
            <w:tcW w:w="850" w:type="dxa"/>
            <w:noWrap/>
            <w:vAlign w:val="center"/>
            <w:hideMark/>
          </w:tcPr>
          <w:p w14:paraId="4BB5E910"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1CBADEE2"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4805564C"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0FCC856B"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34270B40"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58E764A0"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87" w:type="dxa"/>
            <w:noWrap/>
            <w:vAlign w:val="center"/>
            <w:hideMark/>
          </w:tcPr>
          <w:p w14:paraId="400C27D1"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87" w:type="dxa"/>
            <w:noWrap/>
            <w:vAlign w:val="center"/>
            <w:hideMark/>
          </w:tcPr>
          <w:p w14:paraId="2D6040AA"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r>
      <w:tr w:rsidR="00F05214" w:rsidRPr="008D5C52" w14:paraId="3D39C17A" w14:textId="77777777" w:rsidTr="00E202EA">
        <w:trPr>
          <w:trHeight w:val="300"/>
          <w:jc w:val="center"/>
        </w:trPr>
        <w:tc>
          <w:tcPr>
            <w:cnfStyle w:val="001000000000" w:firstRow="0" w:lastRow="0" w:firstColumn="1" w:lastColumn="0" w:oddVBand="0" w:evenVBand="0" w:oddHBand="0" w:evenHBand="0" w:firstRowFirstColumn="0" w:firstRowLastColumn="0" w:lastRowFirstColumn="0" w:lastRowLastColumn="0"/>
            <w:tcW w:w="909" w:type="dxa"/>
            <w:noWrap/>
            <w:vAlign w:val="center"/>
            <w:hideMark/>
          </w:tcPr>
          <w:p w14:paraId="139F5B06" w14:textId="77777777" w:rsidR="00F05214" w:rsidRPr="008D5C52" w:rsidRDefault="00F05214" w:rsidP="00E202EA">
            <w:pPr>
              <w:pStyle w:val="NoSpacing"/>
            </w:pPr>
            <w:r w:rsidRPr="008D5C52">
              <w:t>L0012</w:t>
            </w:r>
          </w:p>
        </w:tc>
        <w:tc>
          <w:tcPr>
            <w:tcW w:w="1146" w:type="dxa"/>
            <w:vMerge/>
            <w:noWrap/>
            <w:vAlign w:val="center"/>
            <w:hideMark/>
          </w:tcPr>
          <w:p w14:paraId="6373A19C" w14:textId="77777777" w:rsidR="00F05214" w:rsidRPr="008D5C52" w:rsidRDefault="00F05214" w:rsidP="00E202EA">
            <w:pPr>
              <w:pStyle w:val="NoSpacing"/>
              <w:cnfStyle w:val="000000000000" w:firstRow="0" w:lastRow="0" w:firstColumn="0" w:lastColumn="0" w:oddVBand="0" w:evenVBand="0" w:oddHBand="0" w:evenHBand="0" w:firstRowFirstColumn="0" w:firstRowLastColumn="0" w:lastRowFirstColumn="0" w:lastRowLastColumn="0"/>
            </w:pPr>
          </w:p>
        </w:tc>
        <w:tc>
          <w:tcPr>
            <w:tcW w:w="1871" w:type="dxa"/>
            <w:noWrap/>
            <w:vAlign w:val="center"/>
            <w:hideMark/>
          </w:tcPr>
          <w:p w14:paraId="660BD2DC" w14:textId="77777777" w:rsidR="00F05214" w:rsidRPr="008D5C52" w:rsidRDefault="00F05214" w:rsidP="00E202EA">
            <w:pPr>
              <w:pStyle w:val="NoSpacing"/>
              <w:cnfStyle w:val="000000000000" w:firstRow="0" w:lastRow="0" w:firstColumn="0" w:lastColumn="0" w:oddVBand="0" w:evenVBand="0" w:oddHBand="0" w:evenHBand="0" w:firstRowFirstColumn="0" w:firstRowLastColumn="0" w:lastRowFirstColumn="0" w:lastRowLastColumn="0"/>
              <w:rPr>
                <w:szCs w:val="20"/>
              </w:rPr>
            </w:pPr>
            <w:r w:rsidRPr="008D5C52">
              <w:rPr>
                <w:szCs w:val="20"/>
              </w:rPr>
              <w:t>Commercial Film</w:t>
            </w:r>
          </w:p>
        </w:tc>
        <w:tc>
          <w:tcPr>
            <w:tcW w:w="850" w:type="dxa"/>
            <w:noWrap/>
            <w:vAlign w:val="center"/>
            <w:hideMark/>
          </w:tcPr>
          <w:p w14:paraId="6EA51F0E"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4FA553D2"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148D8352"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13F3A713"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055D45EB"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664FFCD2"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87" w:type="dxa"/>
            <w:noWrap/>
            <w:vAlign w:val="center"/>
            <w:hideMark/>
          </w:tcPr>
          <w:p w14:paraId="25A2E3D3"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87" w:type="dxa"/>
            <w:noWrap/>
            <w:vAlign w:val="center"/>
            <w:hideMark/>
          </w:tcPr>
          <w:p w14:paraId="750ADFD4"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r>
      <w:tr w:rsidR="00F05214" w:rsidRPr="008D5C52" w14:paraId="4F0FD6B1" w14:textId="77777777" w:rsidTr="00E202EA">
        <w:trPr>
          <w:trHeight w:val="300"/>
          <w:jc w:val="center"/>
        </w:trPr>
        <w:tc>
          <w:tcPr>
            <w:cnfStyle w:val="001000000000" w:firstRow="0" w:lastRow="0" w:firstColumn="1" w:lastColumn="0" w:oddVBand="0" w:evenVBand="0" w:oddHBand="0" w:evenHBand="0" w:firstRowFirstColumn="0" w:firstRowLastColumn="0" w:lastRowFirstColumn="0" w:lastRowLastColumn="0"/>
            <w:tcW w:w="909" w:type="dxa"/>
            <w:noWrap/>
            <w:vAlign w:val="center"/>
            <w:hideMark/>
          </w:tcPr>
          <w:p w14:paraId="6BC029BA" w14:textId="77777777" w:rsidR="00F05214" w:rsidRPr="008D5C52" w:rsidRDefault="00F05214" w:rsidP="00E202EA">
            <w:pPr>
              <w:pStyle w:val="NoSpacing"/>
            </w:pPr>
            <w:r w:rsidRPr="008D5C52">
              <w:t>E0003</w:t>
            </w:r>
          </w:p>
        </w:tc>
        <w:tc>
          <w:tcPr>
            <w:tcW w:w="1146" w:type="dxa"/>
            <w:vMerge w:val="restart"/>
            <w:noWrap/>
            <w:vAlign w:val="center"/>
            <w:hideMark/>
          </w:tcPr>
          <w:p w14:paraId="460DBE8E" w14:textId="77777777" w:rsidR="00F05214" w:rsidRPr="008D5C52" w:rsidRDefault="00F05214" w:rsidP="00E202EA">
            <w:pPr>
              <w:pStyle w:val="NoSpacing"/>
              <w:cnfStyle w:val="000000000000" w:firstRow="0" w:lastRow="0" w:firstColumn="0" w:lastColumn="0" w:oddVBand="0" w:evenVBand="0" w:oddHBand="0" w:evenHBand="0" w:firstRowFirstColumn="0" w:firstRowLastColumn="0" w:lastRowFirstColumn="0" w:lastRowLastColumn="0"/>
            </w:pPr>
            <w:r w:rsidRPr="008D5C52">
              <w:t>Rigid PP &amp; PE (25%)</w:t>
            </w:r>
          </w:p>
        </w:tc>
        <w:tc>
          <w:tcPr>
            <w:tcW w:w="1871" w:type="dxa"/>
            <w:noWrap/>
            <w:vAlign w:val="center"/>
            <w:hideMark/>
          </w:tcPr>
          <w:p w14:paraId="18541C57" w14:textId="77777777" w:rsidR="00F05214" w:rsidRPr="008D5C52" w:rsidRDefault="00F05214" w:rsidP="00E202EA">
            <w:pPr>
              <w:pStyle w:val="NoSpacing"/>
              <w:cnfStyle w:val="000000000000" w:firstRow="0" w:lastRow="0" w:firstColumn="0" w:lastColumn="0" w:oddVBand="0" w:evenVBand="0" w:oddHBand="0" w:evenHBand="0" w:firstRowFirstColumn="0" w:firstRowLastColumn="0" w:lastRowFirstColumn="0" w:lastRowLastColumn="0"/>
              <w:rPr>
                <w:szCs w:val="20"/>
              </w:rPr>
            </w:pPr>
            <w:r w:rsidRPr="008D5C52">
              <w:rPr>
                <w:szCs w:val="20"/>
              </w:rPr>
              <w:t>Drums and IBC containers</w:t>
            </w:r>
          </w:p>
        </w:tc>
        <w:tc>
          <w:tcPr>
            <w:tcW w:w="850" w:type="dxa"/>
            <w:noWrap/>
            <w:vAlign w:val="center"/>
            <w:hideMark/>
          </w:tcPr>
          <w:p w14:paraId="6DCFE568"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5BA0C2A3"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4157CACB"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600BB6F2"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3C763CA7"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1F01AB3C"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87" w:type="dxa"/>
            <w:noWrap/>
            <w:vAlign w:val="center"/>
            <w:hideMark/>
          </w:tcPr>
          <w:p w14:paraId="1E12EB19"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87" w:type="dxa"/>
            <w:noWrap/>
            <w:vAlign w:val="center"/>
            <w:hideMark/>
          </w:tcPr>
          <w:p w14:paraId="56D1F0CD"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r>
      <w:tr w:rsidR="00F05214" w:rsidRPr="008D5C52" w14:paraId="69853DFB" w14:textId="77777777" w:rsidTr="00E202EA">
        <w:trPr>
          <w:trHeight w:val="300"/>
          <w:jc w:val="center"/>
        </w:trPr>
        <w:tc>
          <w:tcPr>
            <w:cnfStyle w:val="001000000000" w:firstRow="0" w:lastRow="0" w:firstColumn="1" w:lastColumn="0" w:oddVBand="0" w:evenVBand="0" w:oddHBand="0" w:evenHBand="0" w:firstRowFirstColumn="0" w:firstRowLastColumn="0" w:lastRowFirstColumn="0" w:lastRowLastColumn="0"/>
            <w:tcW w:w="909" w:type="dxa"/>
            <w:noWrap/>
            <w:vAlign w:val="center"/>
            <w:hideMark/>
          </w:tcPr>
          <w:p w14:paraId="2DAC258F" w14:textId="77777777" w:rsidR="00F05214" w:rsidRPr="008D5C52" w:rsidRDefault="00F05214" w:rsidP="00E202EA">
            <w:pPr>
              <w:pStyle w:val="NoSpacing"/>
            </w:pPr>
            <w:r w:rsidRPr="008D5C52">
              <w:t>E0024</w:t>
            </w:r>
          </w:p>
        </w:tc>
        <w:tc>
          <w:tcPr>
            <w:tcW w:w="1146" w:type="dxa"/>
            <w:vMerge/>
            <w:noWrap/>
            <w:vAlign w:val="center"/>
            <w:hideMark/>
          </w:tcPr>
          <w:p w14:paraId="4029AFF2" w14:textId="77777777" w:rsidR="00F05214" w:rsidRPr="008D5C52" w:rsidRDefault="00F05214" w:rsidP="00E202EA">
            <w:pPr>
              <w:pStyle w:val="NoSpacing"/>
              <w:cnfStyle w:val="000000000000" w:firstRow="0" w:lastRow="0" w:firstColumn="0" w:lastColumn="0" w:oddVBand="0" w:evenVBand="0" w:oddHBand="0" w:evenHBand="0" w:firstRowFirstColumn="0" w:firstRowLastColumn="0" w:lastRowFirstColumn="0" w:lastRowLastColumn="0"/>
            </w:pPr>
          </w:p>
        </w:tc>
        <w:tc>
          <w:tcPr>
            <w:tcW w:w="1871" w:type="dxa"/>
            <w:noWrap/>
            <w:vAlign w:val="center"/>
            <w:hideMark/>
          </w:tcPr>
          <w:p w14:paraId="1A4FBE51" w14:textId="77777777" w:rsidR="00F05214" w:rsidRPr="008D5C52" w:rsidRDefault="00F05214" w:rsidP="00E202EA">
            <w:pPr>
              <w:pStyle w:val="NoSpacing"/>
              <w:cnfStyle w:val="000000000000" w:firstRow="0" w:lastRow="0" w:firstColumn="0" w:lastColumn="0" w:oddVBand="0" w:evenVBand="0" w:oddHBand="0" w:evenHBand="0" w:firstRowFirstColumn="0" w:firstRowLastColumn="0" w:lastRowFirstColumn="0" w:lastRowLastColumn="0"/>
              <w:rPr>
                <w:szCs w:val="20"/>
              </w:rPr>
            </w:pPr>
            <w:r w:rsidRPr="008D5C52">
              <w:rPr>
                <w:szCs w:val="20"/>
              </w:rPr>
              <w:t>Wheelie bins</w:t>
            </w:r>
          </w:p>
        </w:tc>
        <w:tc>
          <w:tcPr>
            <w:tcW w:w="850" w:type="dxa"/>
            <w:noWrap/>
            <w:vAlign w:val="center"/>
            <w:hideMark/>
          </w:tcPr>
          <w:p w14:paraId="0044F662"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70ACAF9E"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2BDA2C13"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6BD99783"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159668CA"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463ECBF3"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87" w:type="dxa"/>
            <w:noWrap/>
            <w:vAlign w:val="center"/>
            <w:hideMark/>
          </w:tcPr>
          <w:p w14:paraId="7222F673"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87" w:type="dxa"/>
            <w:noWrap/>
            <w:vAlign w:val="center"/>
            <w:hideMark/>
          </w:tcPr>
          <w:p w14:paraId="42559D6D"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r>
      <w:tr w:rsidR="00F05214" w:rsidRPr="008D5C52" w14:paraId="0C972A70" w14:textId="77777777" w:rsidTr="00E202EA">
        <w:trPr>
          <w:trHeight w:val="300"/>
          <w:jc w:val="center"/>
        </w:trPr>
        <w:tc>
          <w:tcPr>
            <w:cnfStyle w:val="001000000000" w:firstRow="0" w:lastRow="0" w:firstColumn="1" w:lastColumn="0" w:oddVBand="0" w:evenVBand="0" w:oddHBand="0" w:evenHBand="0" w:firstRowFirstColumn="0" w:firstRowLastColumn="0" w:lastRowFirstColumn="0" w:lastRowLastColumn="0"/>
            <w:tcW w:w="909" w:type="dxa"/>
            <w:noWrap/>
            <w:vAlign w:val="center"/>
            <w:hideMark/>
          </w:tcPr>
          <w:p w14:paraId="37A7A8CA" w14:textId="77777777" w:rsidR="00F05214" w:rsidRPr="008D5C52" w:rsidRDefault="00F05214" w:rsidP="00E202EA">
            <w:pPr>
              <w:pStyle w:val="NoSpacing"/>
            </w:pPr>
            <w:r w:rsidRPr="008D5C52">
              <w:t>E0037</w:t>
            </w:r>
          </w:p>
        </w:tc>
        <w:tc>
          <w:tcPr>
            <w:tcW w:w="1146" w:type="dxa"/>
            <w:vMerge/>
            <w:noWrap/>
            <w:vAlign w:val="center"/>
            <w:hideMark/>
          </w:tcPr>
          <w:p w14:paraId="360328B9" w14:textId="77777777" w:rsidR="00F05214" w:rsidRPr="008D5C52" w:rsidRDefault="00F05214" w:rsidP="00E202EA">
            <w:pPr>
              <w:pStyle w:val="NoSpacing"/>
              <w:cnfStyle w:val="000000000000" w:firstRow="0" w:lastRow="0" w:firstColumn="0" w:lastColumn="0" w:oddVBand="0" w:evenVBand="0" w:oddHBand="0" w:evenHBand="0" w:firstRowFirstColumn="0" w:firstRowLastColumn="0" w:lastRowFirstColumn="0" w:lastRowLastColumn="0"/>
            </w:pPr>
          </w:p>
        </w:tc>
        <w:tc>
          <w:tcPr>
            <w:tcW w:w="1871" w:type="dxa"/>
            <w:noWrap/>
            <w:vAlign w:val="center"/>
            <w:hideMark/>
          </w:tcPr>
          <w:p w14:paraId="323E04CB" w14:textId="77777777" w:rsidR="00F05214" w:rsidRPr="008D5C52" w:rsidRDefault="00F05214" w:rsidP="00E202EA">
            <w:pPr>
              <w:pStyle w:val="NoSpacing"/>
              <w:cnfStyle w:val="000000000000" w:firstRow="0" w:lastRow="0" w:firstColumn="0" w:lastColumn="0" w:oddVBand="0" w:evenVBand="0" w:oddHBand="0" w:evenHBand="0" w:firstRowFirstColumn="0" w:firstRowLastColumn="0" w:lastRowFirstColumn="0" w:lastRowLastColumn="0"/>
              <w:rPr>
                <w:szCs w:val="20"/>
              </w:rPr>
            </w:pPr>
            <w:r w:rsidRPr="008D5C52">
              <w:rPr>
                <w:szCs w:val="20"/>
              </w:rPr>
              <w:t>Small bins and crates</w:t>
            </w:r>
          </w:p>
        </w:tc>
        <w:tc>
          <w:tcPr>
            <w:tcW w:w="850" w:type="dxa"/>
            <w:noWrap/>
            <w:vAlign w:val="center"/>
            <w:hideMark/>
          </w:tcPr>
          <w:p w14:paraId="104AB372"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1CD2CBC5"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5DE0169D"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78D05AE6"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6C3C2FE6"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5C067E9E"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87" w:type="dxa"/>
            <w:noWrap/>
            <w:vAlign w:val="center"/>
            <w:hideMark/>
          </w:tcPr>
          <w:p w14:paraId="00345B2E"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87" w:type="dxa"/>
            <w:noWrap/>
            <w:vAlign w:val="center"/>
            <w:hideMark/>
          </w:tcPr>
          <w:p w14:paraId="739A96C6"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r>
      <w:tr w:rsidR="00F05214" w:rsidRPr="008D5C52" w14:paraId="1E7985E8" w14:textId="77777777" w:rsidTr="00E202EA">
        <w:trPr>
          <w:trHeight w:val="300"/>
          <w:jc w:val="center"/>
        </w:trPr>
        <w:tc>
          <w:tcPr>
            <w:cnfStyle w:val="001000000000" w:firstRow="0" w:lastRow="0" w:firstColumn="1" w:lastColumn="0" w:oddVBand="0" w:evenVBand="0" w:oddHBand="0" w:evenHBand="0" w:firstRowFirstColumn="0" w:firstRowLastColumn="0" w:lastRowFirstColumn="0" w:lastRowLastColumn="0"/>
            <w:tcW w:w="909" w:type="dxa"/>
            <w:noWrap/>
            <w:vAlign w:val="center"/>
            <w:hideMark/>
          </w:tcPr>
          <w:p w14:paraId="1E43B9F8" w14:textId="77777777" w:rsidR="00F05214" w:rsidRPr="008D5C52" w:rsidRDefault="00F05214" w:rsidP="00E202EA">
            <w:pPr>
              <w:pStyle w:val="NoSpacing"/>
            </w:pPr>
            <w:r w:rsidRPr="008D5C52">
              <w:t>P0004</w:t>
            </w:r>
          </w:p>
        </w:tc>
        <w:tc>
          <w:tcPr>
            <w:tcW w:w="1146" w:type="dxa"/>
            <w:vMerge/>
            <w:noWrap/>
            <w:vAlign w:val="center"/>
            <w:hideMark/>
          </w:tcPr>
          <w:p w14:paraId="27422A2C" w14:textId="77777777" w:rsidR="00F05214" w:rsidRPr="008D5C52" w:rsidRDefault="00F05214" w:rsidP="00E202EA">
            <w:pPr>
              <w:pStyle w:val="NoSpacing"/>
              <w:cnfStyle w:val="000000000000" w:firstRow="0" w:lastRow="0" w:firstColumn="0" w:lastColumn="0" w:oddVBand="0" w:evenVBand="0" w:oddHBand="0" w:evenHBand="0" w:firstRowFirstColumn="0" w:firstRowLastColumn="0" w:lastRowFirstColumn="0" w:lastRowLastColumn="0"/>
            </w:pPr>
          </w:p>
        </w:tc>
        <w:tc>
          <w:tcPr>
            <w:tcW w:w="1871" w:type="dxa"/>
            <w:noWrap/>
            <w:vAlign w:val="center"/>
            <w:hideMark/>
          </w:tcPr>
          <w:p w14:paraId="3058B3F9" w14:textId="77777777" w:rsidR="00F05214" w:rsidRPr="008D5C52" w:rsidRDefault="00F05214" w:rsidP="00E202EA">
            <w:pPr>
              <w:pStyle w:val="NoSpacing"/>
              <w:cnfStyle w:val="000000000000" w:firstRow="0" w:lastRow="0" w:firstColumn="0" w:lastColumn="0" w:oddVBand="0" w:evenVBand="0" w:oddHBand="0" w:evenHBand="0" w:firstRowFirstColumn="0" w:firstRowLastColumn="0" w:lastRowFirstColumn="0" w:lastRowLastColumn="0"/>
              <w:rPr>
                <w:szCs w:val="20"/>
              </w:rPr>
            </w:pPr>
            <w:r w:rsidRPr="008D5C52">
              <w:rPr>
                <w:szCs w:val="20"/>
              </w:rPr>
              <w:t>Sheet</w:t>
            </w:r>
          </w:p>
        </w:tc>
        <w:tc>
          <w:tcPr>
            <w:tcW w:w="850" w:type="dxa"/>
            <w:noWrap/>
            <w:vAlign w:val="center"/>
            <w:hideMark/>
          </w:tcPr>
          <w:p w14:paraId="55FD3711"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6E365852"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35E73721"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023AB1DA"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20C5A8E7"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59ED5BF1"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87" w:type="dxa"/>
            <w:noWrap/>
            <w:vAlign w:val="center"/>
            <w:hideMark/>
          </w:tcPr>
          <w:p w14:paraId="01ED1BF9"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87" w:type="dxa"/>
            <w:noWrap/>
            <w:vAlign w:val="center"/>
            <w:hideMark/>
          </w:tcPr>
          <w:p w14:paraId="0056D6C2"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r>
      <w:tr w:rsidR="00F05214" w:rsidRPr="008D5C52" w14:paraId="42FBC1E2" w14:textId="77777777" w:rsidTr="00E202EA">
        <w:trPr>
          <w:trHeight w:val="300"/>
          <w:jc w:val="center"/>
        </w:trPr>
        <w:tc>
          <w:tcPr>
            <w:cnfStyle w:val="001000000000" w:firstRow="0" w:lastRow="0" w:firstColumn="1" w:lastColumn="0" w:oddVBand="0" w:evenVBand="0" w:oddHBand="0" w:evenHBand="0" w:firstRowFirstColumn="0" w:firstRowLastColumn="0" w:lastRowFirstColumn="0" w:lastRowLastColumn="0"/>
            <w:tcW w:w="909" w:type="dxa"/>
            <w:noWrap/>
            <w:vAlign w:val="center"/>
            <w:hideMark/>
          </w:tcPr>
          <w:p w14:paraId="3712CCF3" w14:textId="77777777" w:rsidR="00F05214" w:rsidRPr="008D5C52" w:rsidRDefault="00F05214" w:rsidP="00E202EA">
            <w:pPr>
              <w:pStyle w:val="NoSpacing"/>
            </w:pPr>
            <w:r w:rsidRPr="008D5C52">
              <w:t>P0008</w:t>
            </w:r>
          </w:p>
        </w:tc>
        <w:tc>
          <w:tcPr>
            <w:tcW w:w="1146" w:type="dxa"/>
            <w:vMerge/>
            <w:noWrap/>
            <w:vAlign w:val="center"/>
            <w:hideMark/>
          </w:tcPr>
          <w:p w14:paraId="674D4E48" w14:textId="77777777" w:rsidR="00F05214" w:rsidRPr="008D5C52" w:rsidRDefault="00F05214" w:rsidP="00E202EA">
            <w:pPr>
              <w:pStyle w:val="NoSpacing"/>
              <w:cnfStyle w:val="000000000000" w:firstRow="0" w:lastRow="0" w:firstColumn="0" w:lastColumn="0" w:oddVBand="0" w:evenVBand="0" w:oddHBand="0" w:evenHBand="0" w:firstRowFirstColumn="0" w:firstRowLastColumn="0" w:lastRowFirstColumn="0" w:lastRowLastColumn="0"/>
            </w:pPr>
          </w:p>
        </w:tc>
        <w:tc>
          <w:tcPr>
            <w:tcW w:w="1871" w:type="dxa"/>
            <w:noWrap/>
            <w:vAlign w:val="center"/>
            <w:hideMark/>
          </w:tcPr>
          <w:p w14:paraId="1BC10F5A" w14:textId="77777777" w:rsidR="00F05214" w:rsidRPr="008D5C52" w:rsidRDefault="00F05214" w:rsidP="00E202EA">
            <w:pPr>
              <w:pStyle w:val="NoSpacing"/>
              <w:cnfStyle w:val="000000000000" w:firstRow="0" w:lastRow="0" w:firstColumn="0" w:lastColumn="0" w:oddVBand="0" w:evenVBand="0" w:oddHBand="0" w:evenHBand="0" w:firstRowFirstColumn="0" w:firstRowLastColumn="0" w:lastRowFirstColumn="0" w:lastRowLastColumn="0"/>
              <w:rPr>
                <w:szCs w:val="20"/>
              </w:rPr>
            </w:pPr>
            <w:r w:rsidRPr="008D5C52">
              <w:rPr>
                <w:szCs w:val="20"/>
              </w:rPr>
              <w:t>ELV ASR</w:t>
            </w:r>
          </w:p>
        </w:tc>
        <w:tc>
          <w:tcPr>
            <w:tcW w:w="850" w:type="dxa"/>
            <w:noWrap/>
            <w:vAlign w:val="center"/>
            <w:hideMark/>
          </w:tcPr>
          <w:p w14:paraId="5876B873"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5D8EFBED"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51639F5E"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75E5C50B"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0AC5266B"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485F8E3E"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87" w:type="dxa"/>
            <w:noWrap/>
            <w:vAlign w:val="center"/>
            <w:hideMark/>
          </w:tcPr>
          <w:p w14:paraId="14E0C348"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87" w:type="dxa"/>
            <w:noWrap/>
            <w:vAlign w:val="center"/>
            <w:hideMark/>
          </w:tcPr>
          <w:p w14:paraId="0DB06412"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r>
      <w:tr w:rsidR="00F05214" w:rsidRPr="008D5C52" w14:paraId="48479EB2" w14:textId="77777777" w:rsidTr="00E202EA">
        <w:trPr>
          <w:trHeight w:val="300"/>
          <w:jc w:val="center"/>
        </w:trPr>
        <w:tc>
          <w:tcPr>
            <w:cnfStyle w:val="001000000000" w:firstRow="0" w:lastRow="0" w:firstColumn="1" w:lastColumn="0" w:oddVBand="0" w:evenVBand="0" w:oddHBand="0" w:evenHBand="0" w:firstRowFirstColumn="0" w:firstRowLastColumn="0" w:lastRowFirstColumn="0" w:lastRowLastColumn="0"/>
            <w:tcW w:w="909" w:type="dxa"/>
            <w:noWrap/>
            <w:vAlign w:val="center"/>
            <w:hideMark/>
          </w:tcPr>
          <w:p w14:paraId="4F49CF8C" w14:textId="77777777" w:rsidR="00F05214" w:rsidRPr="008D5C52" w:rsidRDefault="00F05214" w:rsidP="00E202EA">
            <w:pPr>
              <w:pStyle w:val="NoSpacing"/>
            </w:pPr>
            <w:r w:rsidRPr="008D5C52">
              <w:t>P0019</w:t>
            </w:r>
          </w:p>
        </w:tc>
        <w:tc>
          <w:tcPr>
            <w:tcW w:w="1146" w:type="dxa"/>
            <w:vMerge/>
            <w:noWrap/>
            <w:vAlign w:val="center"/>
            <w:hideMark/>
          </w:tcPr>
          <w:p w14:paraId="5DABFC88" w14:textId="77777777" w:rsidR="00F05214" w:rsidRPr="008D5C52" w:rsidRDefault="00F05214" w:rsidP="00E202EA">
            <w:pPr>
              <w:pStyle w:val="NoSpacing"/>
              <w:cnfStyle w:val="000000000000" w:firstRow="0" w:lastRow="0" w:firstColumn="0" w:lastColumn="0" w:oddVBand="0" w:evenVBand="0" w:oddHBand="0" w:evenHBand="0" w:firstRowFirstColumn="0" w:firstRowLastColumn="0" w:lastRowFirstColumn="0" w:lastRowLastColumn="0"/>
            </w:pPr>
          </w:p>
        </w:tc>
        <w:tc>
          <w:tcPr>
            <w:tcW w:w="1871" w:type="dxa"/>
            <w:noWrap/>
            <w:vAlign w:val="center"/>
            <w:hideMark/>
          </w:tcPr>
          <w:p w14:paraId="2A03E2F8" w14:textId="77777777" w:rsidR="00F05214" w:rsidRPr="008D5C52" w:rsidRDefault="00F05214" w:rsidP="00E202EA">
            <w:pPr>
              <w:pStyle w:val="NoSpacing"/>
              <w:cnfStyle w:val="000000000000" w:firstRow="0" w:lastRow="0" w:firstColumn="0" w:lastColumn="0" w:oddVBand="0" w:evenVBand="0" w:oddHBand="0" w:evenHBand="0" w:firstRowFirstColumn="0" w:firstRowLastColumn="0" w:lastRowFirstColumn="0" w:lastRowLastColumn="0"/>
              <w:rPr>
                <w:szCs w:val="20"/>
              </w:rPr>
            </w:pPr>
            <w:r w:rsidRPr="008D5C52">
              <w:rPr>
                <w:szCs w:val="20"/>
              </w:rPr>
              <w:t>Maritime industry</w:t>
            </w:r>
          </w:p>
        </w:tc>
        <w:tc>
          <w:tcPr>
            <w:tcW w:w="850" w:type="dxa"/>
            <w:noWrap/>
            <w:vAlign w:val="center"/>
            <w:hideMark/>
          </w:tcPr>
          <w:p w14:paraId="72271DB5"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61AB8BE2"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0D2242EF"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766E7887"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0712CB9B"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7719B6D2"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87" w:type="dxa"/>
            <w:noWrap/>
            <w:vAlign w:val="center"/>
            <w:hideMark/>
          </w:tcPr>
          <w:p w14:paraId="30879B5D"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87" w:type="dxa"/>
            <w:noWrap/>
            <w:vAlign w:val="center"/>
            <w:hideMark/>
          </w:tcPr>
          <w:p w14:paraId="5D60090A"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r>
      <w:tr w:rsidR="00F05214" w:rsidRPr="008D5C52" w14:paraId="2A46C516" w14:textId="77777777" w:rsidTr="00E202EA">
        <w:trPr>
          <w:trHeight w:val="300"/>
          <w:jc w:val="center"/>
        </w:trPr>
        <w:tc>
          <w:tcPr>
            <w:cnfStyle w:val="001000000000" w:firstRow="0" w:lastRow="0" w:firstColumn="1" w:lastColumn="0" w:oddVBand="0" w:evenVBand="0" w:oddHBand="0" w:evenHBand="0" w:firstRowFirstColumn="0" w:firstRowLastColumn="0" w:lastRowFirstColumn="0" w:lastRowLastColumn="0"/>
            <w:tcW w:w="909" w:type="dxa"/>
            <w:noWrap/>
            <w:vAlign w:val="center"/>
            <w:hideMark/>
          </w:tcPr>
          <w:p w14:paraId="7E9FF93D" w14:textId="77777777" w:rsidR="00F05214" w:rsidRPr="008D5C52" w:rsidRDefault="00F05214" w:rsidP="00E202EA">
            <w:pPr>
              <w:pStyle w:val="NoSpacing"/>
            </w:pPr>
            <w:r w:rsidRPr="008D5C52">
              <w:t>P0020</w:t>
            </w:r>
          </w:p>
        </w:tc>
        <w:tc>
          <w:tcPr>
            <w:tcW w:w="1146" w:type="dxa"/>
            <w:vMerge/>
            <w:noWrap/>
            <w:vAlign w:val="center"/>
            <w:hideMark/>
          </w:tcPr>
          <w:p w14:paraId="5A298C8C" w14:textId="77777777" w:rsidR="00F05214" w:rsidRPr="008D5C52" w:rsidRDefault="00F05214" w:rsidP="00E202EA">
            <w:pPr>
              <w:pStyle w:val="NoSpacing"/>
              <w:cnfStyle w:val="000000000000" w:firstRow="0" w:lastRow="0" w:firstColumn="0" w:lastColumn="0" w:oddVBand="0" w:evenVBand="0" w:oddHBand="0" w:evenHBand="0" w:firstRowFirstColumn="0" w:firstRowLastColumn="0" w:lastRowFirstColumn="0" w:lastRowLastColumn="0"/>
            </w:pPr>
          </w:p>
        </w:tc>
        <w:tc>
          <w:tcPr>
            <w:tcW w:w="1871" w:type="dxa"/>
            <w:noWrap/>
            <w:vAlign w:val="center"/>
            <w:hideMark/>
          </w:tcPr>
          <w:p w14:paraId="0701CC93" w14:textId="77777777" w:rsidR="00F05214" w:rsidRPr="008D5C52" w:rsidRDefault="00F05214" w:rsidP="00E202EA">
            <w:pPr>
              <w:pStyle w:val="NoSpacing"/>
              <w:cnfStyle w:val="000000000000" w:firstRow="0" w:lastRow="0" w:firstColumn="0" w:lastColumn="0" w:oddVBand="0" w:evenVBand="0" w:oddHBand="0" w:evenHBand="0" w:firstRowFirstColumn="0" w:firstRowLastColumn="0" w:lastRowFirstColumn="0" w:lastRowLastColumn="0"/>
              <w:rPr>
                <w:szCs w:val="20"/>
              </w:rPr>
            </w:pPr>
            <w:r w:rsidRPr="008D5C52">
              <w:rPr>
                <w:szCs w:val="20"/>
              </w:rPr>
              <w:t>Maritime industry</w:t>
            </w:r>
          </w:p>
        </w:tc>
        <w:tc>
          <w:tcPr>
            <w:tcW w:w="850" w:type="dxa"/>
            <w:noWrap/>
            <w:vAlign w:val="center"/>
            <w:hideMark/>
          </w:tcPr>
          <w:p w14:paraId="6B11E496"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287B4FBF"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1DAF129A"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60696AF8"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4739A1CE"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09014364"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87" w:type="dxa"/>
            <w:noWrap/>
            <w:vAlign w:val="center"/>
            <w:hideMark/>
          </w:tcPr>
          <w:p w14:paraId="108307DB"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87" w:type="dxa"/>
            <w:noWrap/>
            <w:vAlign w:val="center"/>
            <w:hideMark/>
          </w:tcPr>
          <w:p w14:paraId="0DD11CB3"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r>
      <w:tr w:rsidR="00F05214" w:rsidRPr="008D5C52" w14:paraId="2F8D4BA5" w14:textId="77777777" w:rsidTr="00E202EA">
        <w:trPr>
          <w:trHeight w:val="300"/>
          <w:jc w:val="center"/>
        </w:trPr>
        <w:tc>
          <w:tcPr>
            <w:cnfStyle w:val="001000000000" w:firstRow="0" w:lastRow="0" w:firstColumn="1" w:lastColumn="0" w:oddVBand="0" w:evenVBand="0" w:oddHBand="0" w:evenHBand="0" w:firstRowFirstColumn="0" w:firstRowLastColumn="0" w:lastRowFirstColumn="0" w:lastRowLastColumn="0"/>
            <w:tcW w:w="909" w:type="dxa"/>
            <w:noWrap/>
            <w:vAlign w:val="center"/>
            <w:hideMark/>
          </w:tcPr>
          <w:p w14:paraId="7803B076" w14:textId="77777777" w:rsidR="00F05214" w:rsidRPr="008D5C52" w:rsidRDefault="00F05214" w:rsidP="00E202EA">
            <w:pPr>
              <w:pStyle w:val="NoSpacing"/>
            </w:pPr>
            <w:r w:rsidRPr="008D5C52">
              <w:t>P0036</w:t>
            </w:r>
          </w:p>
        </w:tc>
        <w:tc>
          <w:tcPr>
            <w:tcW w:w="1146" w:type="dxa"/>
            <w:vMerge/>
            <w:noWrap/>
            <w:vAlign w:val="center"/>
            <w:hideMark/>
          </w:tcPr>
          <w:p w14:paraId="4095860B" w14:textId="77777777" w:rsidR="00F05214" w:rsidRPr="008D5C52" w:rsidRDefault="00F05214" w:rsidP="00E202EA">
            <w:pPr>
              <w:pStyle w:val="NoSpacing"/>
              <w:cnfStyle w:val="000000000000" w:firstRow="0" w:lastRow="0" w:firstColumn="0" w:lastColumn="0" w:oddVBand="0" w:evenVBand="0" w:oddHBand="0" w:evenHBand="0" w:firstRowFirstColumn="0" w:firstRowLastColumn="0" w:lastRowFirstColumn="0" w:lastRowLastColumn="0"/>
            </w:pPr>
          </w:p>
        </w:tc>
        <w:tc>
          <w:tcPr>
            <w:tcW w:w="1871" w:type="dxa"/>
            <w:noWrap/>
            <w:vAlign w:val="center"/>
            <w:hideMark/>
          </w:tcPr>
          <w:p w14:paraId="4344327B" w14:textId="77777777" w:rsidR="00F05214" w:rsidRPr="008D5C52" w:rsidRDefault="00F05214" w:rsidP="00E202EA">
            <w:pPr>
              <w:pStyle w:val="NoSpacing"/>
              <w:cnfStyle w:val="000000000000" w:firstRow="0" w:lastRow="0" w:firstColumn="0" w:lastColumn="0" w:oddVBand="0" w:evenVBand="0" w:oddHBand="0" w:evenHBand="0" w:firstRowFirstColumn="0" w:firstRowLastColumn="0" w:lastRowFirstColumn="0" w:lastRowLastColumn="0"/>
              <w:rPr>
                <w:szCs w:val="20"/>
              </w:rPr>
            </w:pPr>
            <w:r w:rsidRPr="008D5C52">
              <w:rPr>
                <w:szCs w:val="20"/>
              </w:rPr>
              <w:t>Household</w:t>
            </w:r>
            <w:r>
              <w:rPr>
                <w:szCs w:val="20"/>
              </w:rPr>
              <w:t xml:space="preserve"> </w:t>
            </w:r>
            <w:r w:rsidRPr="008D5C52">
              <w:rPr>
                <w:szCs w:val="20"/>
              </w:rPr>
              <w:t>/</w:t>
            </w:r>
            <w:r>
              <w:rPr>
                <w:szCs w:val="20"/>
              </w:rPr>
              <w:t xml:space="preserve"> </w:t>
            </w:r>
            <w:r w:rsidRPr="008D5C52">
              <w:rPr>
                <w:szCs w:val="20"/>
              </w:rPr>
              <w:t>Automotive</w:t>
            </w:r>
            <w:r>
              <w:rPr>
                <w:szCs w:val="20"/>
              </w:rPr>
              <w:t xml:space="preserve"> </w:t>
            </w:r>
            <w:r w:rsidRPr="008D5C52">
              <w:rPr>
                <w:szCs w:val="20"/>
              </w:rPr>
              <w:t>/</w:t>
            </w:r>
            <w:r>
              <w:rPr>
                <w:szCs w:val="20"/>
              </w:rPr>
              <w:t xml:space="preserve"> </w:t>
            </w:r>
            <w:r w:rsidRPr="008D5C52">
              <w:rPr>
                <w:szCs w:val="20"/>
              </w:rPr>
              <w:t xml:space="preserve">Commercial </w:t>
            </w:r>
          </w:p>
        </w:tc>
        <w:tc>
          <w:tcPr>
            <w:tcW w:w="850" w:type="dxa"/>
            <w:noWrap/>
            <w:vAlign w:val="center"/>
            <w:hideMark/>
          </w:tcPr>
          <w:p w14:paraId="2A517466"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11EB2D1F"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062EBD5B"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4A22FD49"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3B5BC052"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49EDEBB8"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87" w:type="dxa"/>
            <w:noWrap/>
            <w:vAlign w:val="center"/>
            <w:hideMark/>
          </w:tcPr>
          <w:p w14:paraId="4778DB31"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pPr>
            <w:r w:rsidRPr="008D5C52">
              <w:t>&lt;0.01%</w:t>
            </w:r>
          </w:p>
        </w:tc>
        <w:tc>
          <w:tcPr>
            <w:tcW w:w="887" w:type="dxa"/>
            <w:noWrap/>
            <w:vAlign w:val="center"/>
            <w:hideMark/>
          </w:tcPr>
          <w:p w14:paraId="027DCF7B"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pPr>
            <w:r w:rsidRPr="008D5C52">
              <w:t>&lt;0.01%</w:t>
            </w:r>
          </w:p>
        </w:tc>
      </w:tr>
      <w:tr w:rsidR="00F05214" w:rsidRPr="008D5C52" w14:paraId="69FDBF1B" w14:textId="77777777" w:rsidTr="00E202EA">
        <w:trPr>
          <w:trHeight w:val="300"/>
          <w:jc w:val="center"/>
        </w:trPr>
        <w:tc>
          <w:tcPr>
            <w:cnfStyle w:val="001000000000" w:firstRow="0" w:lastRow="0" w:firstColumn="1" w:lastColumn="0" w:oddVBand="0" w:evenVBand="0" w:oddHBand="0" w:evenHBand="0" w:firstRowFirstColumn="0" w:firstRowLastColumn="0" w:lastRowFirstColumn="0" w:lastRowLastColumn="0"/>
            <w:tcW w:w="909" w:type="dxa"/>
            <w:noWrap/>
            <w:vAlign w:val="center"/>
            <w:hideMark/>
          </w:tcPr>
          <w:p w14:paraId="5A9BC7FE" w14:textId="77777777" w:rsidR="00F05214" w:rsidRPr="008D5C52" w:rsidRDefault="00F05214" w:rsidP="00E202EA">
            <w:pPr>
              <w:pStyle w:val="NoSpacing"/>
            </w:pPr>
            <w:r w:rsidRPr="008D5C52">
              <w:t>T0003</w:t>
            </w:r>
          </w:p>
        </w:tc>
        <w:tc>
          <w:tcPr>
            <w:tcW w:w="1146" w:type="dxa"/>
            <w:noWrap/>
            <w:vAlign w:val="center"/>
            <w:hideMark/>
          </w:tcPr>
          <w:p w14:paraId="25543DF5" w14:textId="77777777" w:rsidR="00F05214" w:rsidRPr="008D5C52" w:rsidRDefault="00F05214" w:rsidP="00E202EA">
            <w:pPr>
              <w:pStyle w:val="NoSpacing"/>
              <w:cnfStyle w:val="000000000000" w:firstRow="0" w:lastRow="0" w:firstColumn="0" w:lastColumn="0" w:oddVBand="0" w:evenVBand="0" w:oddHBand="0" w:evenHBand="0" w:firstRowFirstColumn="0" w:firstRowLastColumn="0" w:lastRowFirstColumn="0" w:lastRowLastColumn="0"/>
            </w:pPr>
            <w:r w:rsidRPr="008D5C52">
              <w:t>PET (26%)</w:t>
            </w:r>
          </w:p>
        </w:tc>
        <w:tc>
          <w:tcPr>
            <w:tcW w:w="1871" w:type="dxa"/>
            <w:noWrap/>
            <w:vAlign w:val="center"/>
            <w:hideMark/>
          </w:tcPr>
          <w:p w14:paraId="2BD99BF3" w14:textId="77777777" w:rsidR="00F05214" w:rsidRPr="008D5C52" w:rsidRDefault="00F05214" w:rsidP="00E202EA">
            <w:pPr>
              <w:pStyle w:val="NoSpacing"/>
              <w:cnfStyle w:val="000000000000" w:firstRow="0" w:lastRow="0" w:firstColumn="0" w:lastColumn="0" w:oddVBand="0" w:evenVBand="0" w:oddHBand="0" w:evenHBand="0" w:firstRowFirstColumn="0" w:firstRowLastColumn="0" w:lastRowFirstColumn="0" w:lastRowLastColumn="0"/>
              <w:rPr>
                <w:szCs w:val="20"/>
              </w:rPr>
            </w:pPr>
            <w:r w:rsidRPr="008D5C52">
              <w:rPr>
                <w:szCs w:val="20"/>
              </w:rPr>
              <w:t>96% Bottles - 4% trays</w:t>
            </w:r>
          </w:p>
        </w:tc>
        <w:tc>
          <w:tcPr>
            <w:tcW w:w="850" w:type="dxa"/>
            <w:noWrap/>
            <w:vAlign w:val="center"/>
            <w:hideMark/>
          </w:tcPr>
          <w:p w14:paraId="564078BE"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0264E519"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73B59BEA"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192B43D1"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2BD57162"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366B88E1"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87" w:type="dxa"/>
            <w:noWrap/>
            <w:vAlign w:val="center"/>
            <w:hideMark/>
          </w:tcPr>
          <w:p w14:paraId="566EF621"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pPr>
            <w:r w:rsidRPr="008D5C52">
              <w:t>&lt;0.01%</w:t>
            </w:r>
          </w:p>
        </w:tc>
        <w:tc>
          <w:tcPr>
            <w:tcW w:w="887" w:type="dxa"/>
            <w:noWrap/>
            <w:vAlign w:val="center"/>
            <w:hideMark/>
          </w:tcPr>
          <w:p w14:paraId="79E53A62"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pPr>
            <w:r w:rsidRPr="008D5C52">
              <w:t>&lt;0.01%</w:t>
            </w:r>
          </w:p>
        </w:tc>
      </w:tr>
      <w:tr w:rsidR="00F05214" w:rsidRPr="008D5C52" w14:paraId="31F38FAC" w14:textId="77777777" w:rsidTr="00E202EA">
        <w:trPr>
          <w:trHeight w:val="300"/>
          <w:jc w:val="center"/>
        </w:trPr>
        <w:tc>
          <w:tcPr>
            <w:cnfStyle w:val="001000000000" w:firstRow="0" w:lastRow="0" w:firstColumn="1" w:lastColumn="0" w:oddVBand="0" w:evenVBand="0" w:oddHBand="0" w:evenHBand="0" w:firstRowFirstColumn="0" w:firstRowLastColumn="0" w:lastRowFirstColumn="0" w:lastRowLastColumn="0"/>
            <w:tcW w:w="909" w:type="dxa"/>
            <w:noWrap/>
            <w:vAlign w:val="center"/>
            <w:hideMark/>
          </w:tcPr>
          <w:p w14:paraId="4699523D" w14:textId="77777777" w:rsidR="00F05214" w:rsidRPr="008D5C52" w:rsidRDefault="00F05214" w:rsidP="00E202EA">
            <w:pPr>
              <w:pStyle w:val="NoSpacing"/>
            </w:pPr>
            <w:r w:rsidRPr="008D5C52">
              <w:t>C0008</w:t>
            </w:r>
          </w:p>
        </w:tc>
        <w:tc>
          <w:tcPr>
            <w:tcW w:w="1146" w:type="dxa"/>
            <w:noWrap/>
            <w:vAlign w:val="center"/>
            <w:hideMark/>
          </w:tcPr>
          <w:p w14:paraId="02F4C96D" w14:textId="77777777" w:rsidR="00F05214" w:rsidRPr="008D5C52" w:rsidRDefault="00F05214" w:rsidP="00E202EA">
            <w:pPr>
              <w:pStyle w:val="NoSpacing"/>
              <w:cnfStyle w:val="000000000000" w:firstRow="0" w:lastRow="0" w:firstColumn="0" w:lastColumn="0" w:oddVBand="0" w:evenVBand="0" w:oddHBand="0" w:evenHBand="0" w:firstRowFirstColumn="0" w:firstRowLastColumn="0" w:lastRowFirstColumn="0" w:lastRowLastColumn="0"/>
            </w:pPr>
            <w:r w:rsidRPr="008D5C52">
              <w:t>PVC (9%)</w:t>
            </w:r>
          </w:p>
        </w:tc>
        <w:tc>
          <w:tcPr>
            <w:tcW w:w="1871" w:type="dxa"/>
            <w:noWrap/>
            <w:vAlign w:val="center"/>
            <w:hideMark/>
          </w:tcPr>
          <w:p w14:paraId="03E01738" w14:textId="77777777" w:rsidR="00F05214" w:rsidRPr="008D5C52" w:rsidRDefault="00F05214" w:rsidP="00E202EA">
            <w:pPr>
              <w:pStyle w:val="NoSpacing"/>
              <w:cnfStyle w:val="000000000000" w:firstRow="0" w:lastRow="0" w:firstColumn="0" w:lastColumn="0" w:oddVBand="0" w:evenVBand="0" w:oddHBand="0" w:evenHBand="0" w:firstRowFirstColumn="0" w:firstRowLastColumn="0" w:lastRowFirstColumn="0" w:lastRowLastColumn="0"/>
              <w:rPr>
                <w:szCs w:val="20"/>
              </w:rPr>
            </w:pPr>
            <w:r w:rsidRPr="008D5C52">
              <w:rPr>
                <w:szCs w:val="20"/>
              </w:rPr>
              <w:t>Pipes and Construction Profiles</w:t>
            </w:r>
          </w:p>
        </w:tc>
        <w:tc>
          <w:tcPr>
            <w:tcW w:w="850" w:type="dxa"/>
            <w:noWrap/>
            <w:vAlign w:val="center"/>
            <w:hideMark/>
          </w:tcPr>
          <w:p w14:paraId="46E770CC"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37DF2E72"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0805AEFF"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5D172F79"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5D850FB2"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54B7F83A"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87" w:type="dxa"/>
            <w:noWrap/>
            <w:vAlign w:val="center"/>
            <w:hideMark/>
          </w:tcPr>
          <w:p w14:paraId="30BABDBC"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pPr>
            <w:r w:rsidRPr="008D5C52">
              <w:t>&lt;0.01%</w:t>
            </w:r>
          </w:p>
        </w:tc>
        <w:tc>
          <w:tcPr>
            <w:tcW w:w="887" w:type="dxa"/>
            <w:noWrap/>
            <w:vAlign w:val="center"/>
            <w:hideMark/>
          </w:tcPr>
          <w:p w14:paraId="070DA806"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pPr>
            <w:r w:rsidRPr="008D5C52">
              <w:t>&lt;0.01%</w:t>
            </w:r>
          </w:p>
        </w:tc>
      </w:tr>
      <w:tr w:rsidR="00F05214" w:rsidRPr="008D5C52" w14:paraId="704423C8" w14:textId="77777777" w:rsidTr="00E202EA">
        <w:trPr>
          <w:trHeight w:val="300"/>
          <w:jc w:val="center"/>
        </w:trPr>
        <w:tc>
          <w:tcPr>
            <w:cnfStyle w:val="001000000000" w:firstRow="0" w:lastRow="0" w:firstColumn="1" w:lastColumn="0" w:oddVBand="0" w:evenVBand="0" w:oddHBand="0" w:evenHBand="0" w:firstRowFirstColumn="0" w:firstRowLastColumn="0" w:lastRowFirstColumn="0" w:lastRowLastColumn="0"/>
            <w:tcW w:w="909" w:type="dxa"/>
            <w:noWrap/>
            <w:vAlign w:val="center"/>
            <w:hideMark/>
          </w:tcPr>
          <w:p w14:paraId="67DB9ABD" w14:textId="77777777" w:rsidR="00F05214" w:rsidRPr="008D5C52" w:rsidRDefault="00F05214" w:rsidP="00E202EA">
            <w:pPr>
              <w:pStyle w:val="NoSpacing"/>
            </w:pPr>
            <w:r w:rsidRPr="008D5C52">
              <w:t>S00002</w:t>
            </w:r>
          </w:p>
        </w:tc>
        <w:tc>
          <w:tcPr>
            <w:tcW w:w="1146" w:type="dxa"/>
            <w:vMerge w:val="restart"/>
            <w:noWrap/>
            <w:vAlign w:val="center"/>
            <w:hideMark/>
          </w:tcPr>
          <w:p w14:paraId="6ECC3C05" w14:textId="77777777" w:rsidR="00F05214" w:rsidRPr="008D5C52" w:rsidRDefault="00F05214" w:rsidP="00E202EA">
            <w:pPr>
              <w:pStyle w:val="NoSpacing"/>
              <w:cnfStyle w:val="000000000000" w:firstRow="0" w:lastRow="0" w:firstColumn="0" w:lastColumn="0" w:oddVBand="0" w:evenVBand="0" w:oddHBand="0" w:evenHBand="0" w:firstRowFirstColumn="0" w:firstRowLastColumn="0" w:lastRowFirstColumn="0" w:lastRowLastColumn="0"/>
            </w:pPr>
            <w:r w:rsidRPr="008D5C52">
              <w:t>Technical Plastics (4%)</w:t>
            </w:r>
          </w:p>
        </w:tc>
        <w:tc>
          <w:tcPr>
            <w:tcW w:w="1871" w:type="dxa"/>
            <w:noWrap/>
            <w:vAlign w:val="center"/>
            <w:hideMark/>
          </w:tcPr>
          <w:p w14:paraId="2C277338" w14:textId="77777777" w:rsidR="00F05214" w:rsidRPr="008D5C52" w:rsidRDefault="00F05214" w:rsidP="00E202EA">
            <w:pPr>
              <w:pStyle w:val="NoSpacing"/>
              <w:cnfStyle w:val="000000000000" w:firstRow="0" w:lastRow="0" w:firstColumn="0" w:lastColumn="0" w:oddVBand="0" w:evenVBand="0" w:oddHBand="0" w:evenHBand="0" w:firstRowFirstColumn="0" w:firstRowLastColumn="0" w:lastRowFirstColumn="0" w:lastRowLastColumn="0"/>
              <w:rPr>
                <w:szCs w:val="20"/>
              </w:rPr>
            </w:pPr>
            <w:r w:rsidRPr="008D5C52">
              <w:rPr>
                <w:szCs w:val="20"/>
              </w:rPr>
              <w:t>ELV Bumpers</w:t>
            </w:r>
          </w:p>
        </w:tc>
        <w:tc>
          <w:tcPr>
            <w:tcW w:w="850" w:type="dxa"/>
            <w:noWrap/>
            <w:vAlign w:val="center"/>
            <w:hideMark/>
          </w:tcPr>
          <w:p w14:paraId="007BF84D"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2EF143FE"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78CA2C95"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7F1D3624"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1EB2FBCA"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53723FD6"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87" w:type="dxa"/>
            <w:noWrap/>
            <w:vAlign w:val="center"/>
            <w:hideMark/>
          </w:tcPr>
          <w:p w14:paraId="6107CB35"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pPr>
            <w:r w:rsidRPr="008D5C52">
              <w:t>&lt;0.01%</w:t>
            </w:r>
          </w:p>
        </w:tc>
        <w:tc>
          <w:tcPr>
            <w:tcW w:w="887" w:type="dxa"/>
            <w:noWrap/>
            <w:vAlign w:val="center"/>
            <w:hideMark/>
          </w:tcPr>
          <w:p w14:paraId="030BA1A0"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pPr>
            <w:r w:rsidRPr="008D5C52">
              <w:t>&lt;0.01%</w:t>
            </w:r>
          </w:p>
        </w:tc>
      </w:tr>
      <w:tr w:rsidR="00F05214" w:rsidRPr="008D5C52" w14:paraId="30A308E9" w14:textId="77777777" w:rsidTr="00E202EA">
        <w:trPr>
          <w:trHeight w:val="300"/>
          <w:jc w:val="center"/>
        </w:trPr>
        <w:tc>
          <w:tcPr>
            <w:cnfStyle w:val="001000000000" w:firstRow="0" w:lastRow="0" w:firstColumn="1" w:lastColumn="0" w:oddVBand="0" w:evenVBand="0" w:oddHBand="0" w:evenHBand="0" w:firstRowFirstColumn="0" w:firstRowLastColumn="0" w:lastRowFirstColumn="0" w:lastRowLastColumn="0"/>
            <w:tcW w:w="909" w:type="dxa"/>
            <w:noWrap/>
            <w:vAlign w:val="center"/>
            <w:hideMark/>
          </w:tcPr>
          <w:p w14:paraId="011D9364" w14:textId="77777777" w:rsidR="00F05214" w:rsidRPr="008D5C52" w:rsidRDefault="00F05214" w:rsidP="00E202EA">
            <w:pPr>
              <w:pStyle w:val="NoSpacing"/>
            </w:pPr>
            <w:r w:rsidRPr="008D5C52">
              <w:t>S00010</w:t>
            </w:r>
          </w:p>
        </w:tc>
        <w:tc>
          <w:tcPr>
            <w:tcW w:w="1146" w:type="dxa"/>
            <w:vMerge/>
            <w:noWrap/>
            <w:hideMark/>
          </w:tcPr>
          <w:p w14:paraId="66AC24BD" w14:textId="77777777" w:rsidR="00F05214" w:rsidRPr="008D5C52" w:rsidRDefault="00F05214" w:rsidP="00E202EA">
            <w:pPr>
              <w:pStyle w:val="NoSpacing"/>
              <w:cnfStyle w:val="000000000000" w:firstRow="0" w:lastRow="0" w:firstColumn="0" w:lastColumn="0" w:oddVBand="0" w:evenVBand="0" w:oddHBand="0" w:evenHBand="0" w:firstRowFirstColumn="0" w:firstRowLastColumn="0" w:lastRowFirstColumn="0" w:lastRowLastColumn="0"/>
            </w:pPr>
          </w:p>
        </w:tc>
        <w:tc>
          <w:tcPr>
            <w:tcW w:w="1871" w:type="dxa"/>
            <w:noWrap/>
            <w:vAlign w:val="center"/>
            <w:hideMark/>
          </w:tcPr>
          <w:p w14:paraId="750A5674" w14:textId="77777777" w:rsidR="00F05214" w:rsidRPr="008D5C52" w:rsidRDefault="00F05214" w:rsidP="00E202EA">
            <w:pPr>
              <w:pStyle w:val="NoSpacing"/>
              <w:cnfStyle w:val="000000000000" w:firstRow="0" w:lastRow="0" w:firstColumn="0" w:lastColumn="0" w:oddVBand="0" w:evenVBand="0" w:oddHBand="0" w:evenHBand="0" w:firstRowFirstColumn="0" w:firstRowLastColumn="0" w:lastRowFirstColumn="0" w:lastRowLastColumn="0"/>
              <w:rPr>
                <w:szCs w:val="20"/>
              </w:rPr>
            </w:pPr>
            <w:r w:rsidRPr="008D5C52">
              <w:rPr>
                <w:szCs w:val="20"/>
              </w:rPr>
              <w:t>Container Park Plastics</w:t>
            </w:r>
          </w:p>
        </w:tc>
        <w:tc>
          <w:tcPr>
            <w:tcW w:w="850" w:type="dxa"/>
            <w:noWrap/>
            <w:vAlign w:val="center"/>
            <w:hideMark/>
          </w:tcPr>
          <w:p w14:paraId="28A385BF"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244EAF8E"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79B192C7"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2C58E557"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6962F69F"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149C1E90"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87" w:type="dxa"/>
            <w:noWrap/>
            <w:vAlign w:val="center"/>
            <w:hideMark/>
          </w:tcPr>
          <w:p w14:paraId="444D23E6"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pPr>
            <w:r w:rsidRPr="008D5C52">
              <w:t>&lt;0.01%</w:t>
            </w:r>
          </w:p>
        </w:tc>
        <w:tc>
          <w:tcPr>
            <w:tcW w:w="887" w:type="dxa"/>
            <w:noWrap/>
            <w:vAlign w:val="center"/>
            <w:hideMark/>
          </w:tcPr>
          <w:p w14:paraId="5E670120"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pPr>
            <w:r w:rsidRPr="008D5C52">
              <w:t>&lt;0.01%</w:t>
            </w:r>
          </w:p>
        </w:tc>
      </w:tr>
      <w:tr w:rsidR="00F05214" w:rsidRPr="008D5C52" w14:paraId="6F8B029D" w14:textId="77777777" w:rsidTr="00E202EA">
        <w:trPr>
          <w:trHeight w:val="300"/>
          <w:jc w:val="center"/>
        </w:trPr>
        <w:tc>
          <w:tcPr>
            <w:cnfStyle w:val="001000000000" w:firstRow="0" w:lastRow="0" w:firstColumn="1" w:lastColumn="0" w:oddVBand="0" w:evenVBand="0" w:oddHBand="0" w:evenHBand="0" w:firstRowFirstColumn="0" w:firstRowLastColumn="0" w:lastRowFirstColumn="0" w:lastRowLastColumn="0"/>
            <w:tcW w:w="909" w:type="dxa"/>
            <w:noWrap/>
            <w:vAlign w:val="center"/>
            <w:hideMark/>
          </w:tcPr>
          <w:p w14:paraId="799995C7" w14:textId="77777777" w:rsidR="00F05214" w:rsidRPr="008D5C52" w:rsidRDefault="00F05214" w:rsidP="00E202EA">
            <w:pPr>
              <w:pStyle w:val="NoSpacing"/>
            </w:pPr>
            <w:r w:rsidRPr="008D5C52">
              <w:t>S00021</w:t>
            </w:r>
          </w:p>
        </w:tc>
        <w:tc>
          <w:tcPr>
            <w:tcW w:w="1146" w:type="dxa"/>
            <w:vMerge/>
            <w:noWrap/>
            <w:hideMark/>
          </w:tcPr>
          <w:p w14:paraId="1413E9E8" w14:textId="77777777" w:rsidR="00F05214" w:rsidRPr="008D5C52" w:rsidRDefault="00F05214" w:rsidP="00E202EA">
            <w:pPr>
              <w:pStyle w:val="NoSpacing"/>
              <w:cnfStyle w:val="000000000000" w:firstRow="0" w:lastRow="0" w:firstColumn="0" w:lastColumn="0" w:oddVBand="0" w:evenVBand="0" w:oddHBand="0" w:evenHBand="0" w:firstRowFirstColumn="0" w:firstRowLastColumn="0" w:lastRowFirstColumn="0" w:lastRowLastColumn="0"/>
            </w:pPr>
          </w:p>
        </w:tc>
        <w:tc>
          <w:tcPr>
            <w:tcW w:w="1871" w:type="dxa"/>
            <w:noWrap/>
            <w:vAlign w:val="center"/>
            <w:hideMark/>
          </w:tcPr>
          <w:p w14:paraId="5B013170" w14:textId="77777777" w:rsidR="00F05214" w:rsidRPr="008D5C52" w:rsidRDefault="00F05214" w:rsidP="00E202EA">
            <w:pPr>
              <w:pStyle w:val="NoSpacing"/>
              <w:cnfStyle w:val="000000000000" w:firstRow="0" w:lastRow="0" w:firstColumn="0" w:lastColumn="0" w:oddVBand="0" w:evenVBand="0" w:oddHBand="0" w:evenHBand="0" w:firstRowFirstColumn="0" w:firstRowLastColumn="0" w:lastRowFirstColumn="0" w:lastRowLastColumn="0"/>
              <w:rPr>
                <w:szCs w:val="20"/>
              </w:rPr>
            </w:pPr>
            <w:r w:rsidRPr="008D5C52">
              <w:rPr>
                <w:szCs w:val="20"/>
              </w:rPr>
              <w:t>Small Domestic Appliances</w:t>
            </w:r>
          </w:p>
        </w:tc>
        <w:tc>
          <w:tcPr>
            <w:tcW w:w="850" w:type="dxa"/>
            <w:noWrap/>
            <w:vAlign w:val="center"/>
            <w:hideMark/>
          </w:tcPr>
          <w:p w14:paraId="57D26C74"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3E978505"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55D6D35A"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2D7708ED"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4A9E2EC9"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50" w:type="dxa"/>
            <w:noWrap/>
            <w:vAlign w:val="center"/>
            <w:hideMark/>
          </w:tcPr>
          <w:p w14:paraId="3175A1D2"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rPr>
                <w:szCs w:val="20"/>
              </w:rPr>
            </w:pPr>
            <w:r w:rsidRPr="008D5C52">
              <w:rPr>
                <w:szCs w:val="20"/>
              </w:rPr>
              <w:t>&lt;0.01%</w:t>
            </w:r>
          </w:p>
        </w:tc>
        <w:tc>
          <w:tcPr>
            <w:tcW w:w="887" w:type="dxa"/>
            <w:noWrap/>
            <w:vAlign w:val="center"/>
            <w:hideMark/>
          </w:tcPr>
          <w:p w14:paraId="08CDD61A"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pPr>
            <w:r w:rsidRPr="008D5C52">
              <w:t>&lt;0.01%</w:t>
            </w:r>
          </w:p>
        </w:tc>
        <w:tc>
          <w:tcPr>
            <w:tcW w:w="887" w:type="dxa"/>
            <w:noWrap/>
            <w:vAlign w:val="center"/>
            <w:hideMark/>
          </w:tcPr>
          <w:p w14:paraId="5B9B4AA2" w14:textId="77777777" w:rsidR="00F05214" w:rsidRPr="008D5C52" w:rsidRDefault="00F05214" w:rsidP="00E202EA">
            <w:pPr>
              <w:pStyle w:val="NoSpacing"/>
              <w:jc w:val="right"/>
              <w:cnfStyle w:val="000000000000" w:firstRow="0" w:lastRow="0" w:firstColumn="0" w:lastColumn="0" w:oddVBand="0" w:evenVBand="0" w:oddHBand="0" w:evenHBand="0" w:firstRowFirstColumn="0" w:firstRowLastColumn="0" w:lastRowFirstColumn="0" w:lastRowLastColumn="0"/>
            </w:pPr>
            <w:r w:rsidRPr="008D5C52">
              <w:t>&lt;0.01%</w:t>
            </w:r>
          </w:p>
        </w:tc>
      </w:tr>
    </w:tbl>
    <w:p w14:paraId="2E84B51A" w14:textId="42F0321A" w:rsidR="00F05214" w:rsidRDefault="00F05214" w:rsidP="00AD45D8"/>
    <w:p w14:paraId="2377AF0B" w14:textId="4F2D3520" w:rsidR="00AD45D8" w:rsidRPr="00756C63" w:rsidRDefault="00AD45D8" w:rsidP="00AD45D8">
      <w:pPr>
        <w:rPr>
          <w:b/>
          <w:bCs/>
        </w:rPr>
      </w:pPr>
      <w:r>
        <w:t>The</w:t>
      </w:r>
      <w:r w:rsidR="00491552">
        <w:t xml:space="preserve"> laboratory</w:t>
      </w:r>
      <w:r>
        <w:t xml:space="preserve"> indicated that the </w:t>
      </w:r>
      <w:r w:rsidR="002E0BD0">
        <w:t xml:space="preserve">testing method available and </w:t>
      </w:r>
      <w:r w:rsidR="00491552">
        <w:t>employed</w:t>
      </w:r>
      <w:r>
        <w:t xml:space="preserve"> has a determination limit of </w:t>
      </w:r>
      <w:r w:rsidR="00254697">
        <w:t xml:space="preserve">maximum </w:t>
      </w:r>
      <w:r>
        <w:t>0.005%</w:t>
      </w:r>
      <w:r w:rsidR="00234468">
        <w:t xml:space="preserve"> </w:t>
      </w:r>
      <w:r>
        <w:t>and a reporting limit of 0.01%</w:t>
      </w:r>
      <w:r w:rsidR="00DD002D">
        <w:t>, thus making it unfeasible for them to</w:t>
      </w:r>
      <w:r w:rsidR="00AB3ADF">
        <w:t xml:space="preserve"> match</w:t>
      </w:r>
      <w:r w:rsidR="00254697">
        <w:t xml:space="preserve"> the proposed UTC limit of 0,0001%</w:t>
      </w:r>
      <w:r w:rsidR="00AB3ADF">
        <w:t>.</w:t>
      </w:r>
      <w:r w:rsidR="00D4146D">
        <w:t xml:space="preserve"> </w:t>
      </w:r>
      <w:r>
        <w:t>It should be noted that the laboratory in question, while in the industry’s view is excellent, it has implemented their own in-house method based on some specifications from the OEKO-TEX®</w:t>
      </w:r>
      <w:r w:rsidR="00A91D16">
        <w:rPr>
          <w:rStyle w:val="FootnoteReference"/>
        </w:rPr>
        <w:footnoteReference w:id="3"/>
      </w:r>
      <w:r>
        <w:t xml:space="preserve"> certification scheme. This is because there is no EN or ISO standard established for which </w:t>
      </w:r>
      <w:hyperlink r:id="rId11" w:history="1">
        <w:r w:rsidRPr="00F74B8D">
          <w:rPr>
            <w:rStyle w:val="Hyperlink"/>
          </w:rPr>
          <w:t>interlaboratory testing</w:t>
        </w:r>
      </w:hyperlink>
      <w:r>
        <w:t xml:space="preserve"> has been conducted and independently verified. Based on experience with other substances incorporated in polymer matrixes, the industry strongly believes that such work could reveal quite large variations between different laboratories. </w:t>
      </w:r>
      <w:r w:rsidR="00B12DE5">
        <w:t>This is one of the reasons for a higher “reporting limit” compared to the “determination limit”</w:t>
      </w:r>
      <w:r w:rsidR="0097249E">
        <w:rPr>
          <w:rStyle w:val="FootnoteReference"/>
        </w:rPr>
        <w:footnoteReference w:id="4"/>
      </w:r>
      <w:r>
        <w:t xml:space="preserve">. </w:t>
      </w:r>
    </w:p>
    <w:p w14:paraId="7A089548" w14:textId="367CB3BC" w:rsidR="00AD45D8" w:rsidRDefault="00AD45D8" w:rsidP="00B86EF6">
      <w:r>
        <w:lastRenderedPageBreak/>
        <w:t>The joint Association</w:t>
      </w:r>
      <w:r w:rsidR="003023A3">
        <w:t>’</w:t>
      </w:r>
      <w:r>
        <w:t>s party to this statement</w:t>
      </w:r>
      <w:r w:rsidRPr="68B3924D">
        <w:t xml:space="preserve"> </w:t>
      </w:r>
      <w:r w:rsidR="003023A3">
        <w:t xml:space="preserve">consider it to be essential </w:t>
      </w:r>
      <w:r>
        <w:t>to</w:t>
      </w:r>
      <w:r w:rsidRPr="68B3924D">
        <w:t xml:space="preserve"> </w:t>
      </w:r>
      <w:r w:rsidR="003023A3">
        <w:t>have</w:t>
      </w:r>
      <w:r w:rsidR="003023A3" w:rsidRPr="68B3924D">
        <w:t xml:space="preserve"> </w:t>
      </w:r>
      <w:r w:rsidRPr="68B3924D">
        <w:t xml:space="preserve">an interlaboratory comparison being done on analysis methods </w:t>
      </w:r>
      <w:r w:rsidRPr="00E46D51">
        <w:rPr>
          <w:b/>
          <w:bCs/>
          <w:u w:val="single"/>
        </w:rPr>
        <w:t>before</w:t>
      </w:r>
      <w:r w:rsidRPr="68B3924D">
        <w:t xml:space="preserve"> a UTC limit is adopted. The European Commission’s Joint Research Centre has </w:t>
      </w:r>
      <w:r>
        <w:t xml:space="preserve">successfully </w:t>
      </w:r>
      <w:r w:rsidRPr="68B3924D">
        <w:t xml:space="preserve">undertaken such work previously for the </w:t>
      </w:r>
      <w:hyperlink r:id="rId12">
        <w:r w:rsidRPr="68B3924D">
          <w:rPr>
            <w:rStyle w:val="Hyperlink"/>
          </w:rPr>
          <w:t>polycyclic aromatic hydrocarbons</w:t>
        </w:r>
      </w:hyperlink>
      <w:r w:rsidRPr="68B3924D">
        <w:t xml:space="preserve">, in the context of the review by the EC of the PAH restriction. However, we do understand and share the wish to prevent virgin use of POP substances. </w:t>
      </w:r>
    </w:p>
    <w:p w14:paraId="73AD9693" w14:textId="4C673C81" w:rsidR="005E17EE" w:rsidRDefault="00BC0C16" w:rsidP="005E17EE">
      <w:pPr>
        <w:pStyle w:val="Heading1"/>
        <w:rPr>
          <w:lang w:val="en-US"/>
        </w:rPr>
      </w:pPr>
      <w:r>
        <w:rPr>
          <w:lang w:val="en-US"/>
        </w:rPr>
        <w:t>Joint industry p</w:t>
      </w:r>
      <w:r w:rsidR="002D328B">
        <w:rPr>
          <w:lang w:val="en-US"/>
        </w:rPr>
        <w:t>ropos</w:t>
      </w:r>
      <w:r>
        <w:rPr>
          <w:lang w:val="en-US"/>
        </w:rPr>
        <w:t xml:space="preserve">al on </w:t>
      </w:r>
      <w:r w:rsidR="000609DD">
        <w:rPr>
          <w:lang w:val="en-US"/>
        </w:rPr>
        <w:t xml:space="preserve">UTC limit </w:t>
      </w:r>
      <w:r w:rsidR="002D328B">
        <w:rPr>
          <w:lang w:val="en-US"/>
        </w:rPr>
        <w:t xml:space="preserve">of </w:t>
      </w:r>
      <w:r w:rsidR="000609DD">
        <w:rPr>
          <w:lang w:val="en-US"/>
        </w:rPr>
        <w:t xml:space="preserve">UV-328 </w:t>
      </w:r>
    </w:p>
    <w:p w14:paraId="4FE85EDB" w14:textId="64888E08" w:rsidR="005E17EE" w:rsidRPr="0083557C" w:rsidRDefault="005E17EE" w:rsidP="005E17EE">
      <w:pPr>
        <w:rPr>
          <w:lang w:val="en-US"/>
        </w:rPr>
      </w:pPr>
      <w:r>
        <w:rPr>
          <w:lang w:val="en-US"/>
        </w:rPr>
        <w:t>We would like to remind the European Commission that similar to Dechlorane Plus, no impact assessment is available that evaluates the setting of limit values below 0.1%. In this case, there was not even an ECHA Restriction Process to inform the discussion. The closest equivalent documentation in the Stockholm Convention would be the Risk Management Evaluation (</w:t>
      </w:r>
      <w:r w:rsidRPr="005D6060">
        <w:rPr>
          <w:lang w:val="en-US"/>
        </w:rPr>
        <w:t>UNEP/POPS/POPRC.18/11/Add.2</w:t>
      </w:r>
      <w:r>
        <w:rPr>
          <w:rStyle w:val="FootnoteReference"/>
          <w:lang w:val="en-US"/>
        </w:rPr>
        <w:footnoteReference w:id="5"/>
      </w:r>
      <w:r>
        <w:rPr>
          <w:lang w:val="en-US"/>
        </w:rPr>
        <w:t xml:space="preserve">), which does not contain text on where an UTC level should be set. </w:t>
      </w:r>
    </w:p>
    <w:p w14:paraId="7C4C6363" w14:textId="0F183841" w:rsidR="000B07BF" w:rsidRDefault="007727BF" w:rsidP="00B86EF6">
      <w:r>
        <w:t xml:space="preserve">In </w:t>
      </w:r>
      <w:r w:rsidR="00A10B06">
        <w:t>our previous</w:t>
      </w:r>
      <w:r w:rsidR="00A8689D">
        <w:t xml:space="preserve"> feedback </w:t>
      </w:r>
      <w:r w:rsidR="0025080F">
        <w:t>submitted to the 29</w:t>
      </w:r>
      <w:r w:rsidR="0025080F" w:rsidRPr="0025080F">
        <w:rPr>
          <w:vertAlign w:val="superscript"/>
        </w:rPr>
        <w:t>th</w:t>
      </w:r>
      <w:r w:rsidR="0025080F">
        <w:t xml:space="preserve"> POP CA meeting,</w:t>
      </w:r>
      <w:r w:rsidR="0025080F">
        <w:rPr>
          <w:rStyle w:val="FootnoteReference"/>
        </w:rPr>
        <w:footnoteReference w:id="6"/>
      </w:r>
      <w:r w:rsidR="0025080F">
        <w:t xml:space="preserve"> </w:t>
      </w:r>
      <w:r w:rsidR="006C496B">
        <w:t>t</w:t>
      </w:r>
      <w:r w:rsidR="00883EE5" w:rsidRPr="00883EE5">
        <w:t>he industry indicated 0.1%</w:t>
      </w:r>
      <w:r w:rsidR="00EE352F">
        <w:t xml:space="preserve"> as preferred limit </w:t>
      </w:r>
      <w:r w:rsidR="00060510">
        <w:t xml:space="preserve">in </w:t>
      </w:r>
      <w:r w:rsidR="00EE352F">
        <w:t>mixtures and articles</w:t>
      </w:r>
      <w:r w:rsidR="006F2321">
        <w:t>, including a</w:t>
      </w:r>
      <w:r w:rsidR="00883EE5" w:rsidRPr="00883EE5">
        <w:t xml:space="preserve"> review clause of 1 – 2 years, </w:t>
      </w:r>
      <w:r w:rsidR="006F2321">
        <w:t xml:space="preserve">necessary for </w:t>
      </w:r>
      <w:r w:rsidR="00883EE5" w:rsidRPr="00883EE5">
        <w:t xml:space="preserve">to generate data on the background levels in </w:t>
      </w:r>
      <w:r w:rsidR="00C24612" w:rsidRPr="00883EE5">
        <w:t>recyclate</w:t>
      </w:r>
      <w:r w:rsidR="00883EE5" w:rsidRPr="00883EE5">
        <w:t>.</w:t>
      </w:r>
      <w:r w:rsidR="001634AB">
        <w:t xml:space="preserve"> Since writing that paper</w:t>
      </w:r>
      <w:r w:rsidR="00AC3218">
        <w:t>,</w:t>
      </w:r>
      <w:r w:rsidR="001634AB">
        <w:t xml:space="preserve"> it has been possible to generate such information.</w:t>
      </w:r>
    </w:p>
    <w:p w14:paraId="6CDC40C8" w14:textId="26DFD3B8" w:rsidR="00635604" w:rsidRDefault="00EE4985" w:rsidP="00635604">
      <w:r>
        <w:t xml:space="preserve">Considering this and the results </w:t>
      </w:r>
      <w:r w:rsidR="008F04A2">
        <w:t xml:space="preserve">collected in the PRE substance screening </w:t>
      </w:r>
      <w:r w:rsidR="000770C3">
        <w:t>exercise for benzotriazoles</w:t>
      </w:r>
      <w:r w:rsidR="008F04A2">
        <w:t xml:space="preserve">, we are </w:t>
      </w:r>
      <w:r w:rsidR="000770C3">
        <w:t>reasonably</w:t>
      </w:r>
      <w:r w:rsidR="008F04A2">
        <w:t xml:space="preserve"> confident that a</w:t>
      </w:r>
      <w:r w:rsidR="00635604">
        <w:t xml:space="preserve"> limit of 0.01% would prevent intentional use and that </w:t>
      </w:r>
      <w:r w:rsidR="00A72764">
        <w:t>recyclate</w:t>
      </w:r>
      <w:r w:rsidR="00635604">
        <w:t xml:space="preserve"> would not contain UV-328 at a level exceeding this. Therefore:</w:t>
      </w:r>
    </w:p>
    <w:p w14:paraId="58AE1890" w14:textId="77777777" w:rsidR="00635604" w:rsidRPr="009257FA" w:rsidRDefault="00635604" w:rsidP="009257FA">
      <w:pPr>
        <w:jc w:val="center"/>
        <w:rPr>
          <w:rFonts w:ascii="Calibri" w:hAnsi="Calibri" w:cs="Calibri"/>
          <w:b/>
          <w:bCs/>
          <w:i/>
          <w:iCs/>
          <w:sz w:val="26"/>
          <w:szCs w:val="26"/>
        </w:rPr>
      </w:pPr>
      <w:r w:rsidRPr="009257FA">
        <w:rPr>
          <w:rFonts w:ascii="Calibri" w:hAnsi="Calibri" w:cs="Calibri"/>
          <w:b/>
          <w:bCs/>
          <w:i/>
          <w:iCs/>
          <w:sz w:val="26"/>
          <w:szCs w:val="26"/>
        </w:rPr>
        <w:t>We strongly advocate that the UTC for UV-328 be set at a level of 0.01%.</w:t>
      </w:r>
    </w:p>
    <w:p w14:paraId="1978B03A" w14:textId="1F6A3E7D" w:rsidR="009257FA" w:rsidRDefault="00033F42" w:rsidP="001634AB">
      <w:r>
        <w:t>Finally, we would like to stress</w:t>
      </w:r>
      <w:r w:rsidR="00517AC2">
        <w:t xml:space="preserve"> further that</w:t>
      </w:r>
      <w:r w:rsidR="004D16C9">
        <w:t xml:space="preserve"> t</w:t>
      </w:r>
      <w:r w:rsidR="00635604">
        <w:t>here is an urgent need for a European scientific and verifiable testing methodology agreed for all substances, that can be used on an industrial continuous basis, so that the industry can embrace the challenges ahead with certainty.</w:t>
      </w:r>
      <w:r w:rsidR="009257FA">
        <w:br w:type="page"/>
      </w:r>
    </w:p>
    <w:p w14:paraId="2026A646" w14:textId="59D086AF" w:rsidR="00635604" w:rsidRDefault="00635604" w:rsidP="00BF6F7B">
      <w:pPr>
        <w:spacing w:line="300" w:lineRule="auto"/>
        <w:rPr>
          <w:b/>
          <w:bCs/>
          <w:u w:val="single"/>
        </w:rPr>
      </w:pPr>
      <w:r w:rsidRPr="00C04F6C">
        <w:rPr>
          <w:b/>
          <w:bCs/>
          <w:u w:val="single"/>
        </w:rPr>
        <w:lastRenderedPageBreak/>
        <w:t>For and on behalf of the following industry Associations:</w:t>
      </w:r>
    </w:p>
    <w:tbl>
      <w:tblPr>
        <w:tblStyle w:val="TableGrid"/>
        <w:tblW w:w="992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6"/>
        <w:gridCol w:w="7427"/>
      </w:tblGrid>
      <w:tr w:rsidR="00635604" w14:paraId="17AB43EC" w14:textId="77777777" w:rsidTr="001634AB">
        <w:trPr>
          <w:jc w:val="center"/>
        </w:trPr>
        <w:tc>
          <w:tcPr>
            <w:tcW w:w="2496" w:type="dxa"/>
          </w:tcPr>
          <w:p w14:paraId="05C58401" w14:textId="77777777" w:rsidR="00635604" w:rsidRDefault="00635604" w:rsidP="001212D6">
            <w:pPr>
              <w:spacing w:before="0" w:after="0" w:line="240" w:lineRule="auto"/>
            </w:pPr>
            <w:r>
              <w:br w:type="page"/>
            </w:r>
            <w:r>
              <w:rPr>
                <w:noProof/>
              </w:rPr>
              <w:drawing>
                <wp:anchor distT="0" distB="0" distL="114300" distR="114300" simplePos="0" relativeHeight="251658240" behindDoc="1" locked="0" layoutInCell="1" allowOverlap="1" wp14:anchorId="791A4E51" wp14:editId="013B8073">
                  <wp:simplePos x="0" y="0"/>
                  <wp:positionH relativeFrom="margin">
                    <wp:posOffset>-5715</wp:posOffset>
                  </wp:positionH>
                  <wp:positionV relativeFrom="page">
                    <wp:posOffset>231140</wp:posOffset>
                  </wp:positionV>
                  <wp:extent cx="924560" cy="480060"/>
                  <wp:effectExtent l="0" t="0" r="8890" b="0"/>
                  <wp:wrapSquare wrapText="bothSides"/>
                  <wp:docPr id="756748226" name="Picture 2" descr="A blue and orang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963426" name="Picture 2" descr="A blue and orange text on a black background&#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24560" cy="480060"/>
                          </a:xfrm>
                          <a:prstGeom prst="rect">
                            <a:avLst/>
                          </a:prstGeom>
                        </pic:spPr>
                      </pic:pic>
                    </a:graphicData>
                  </a:graphic>
                  <wp14:sizeRelH relativeFrom="margin">
                    <wp14:pctWidth>0</wp14:pctWidth>
                  </wp14:sizeRelH>
                  <wp14:sizeRelV relativeFrom="margin">
                    <wp14:pctHeight>0</wp14:pctHeight>
                  </wp14:sizeRelV>
                </wp:anchor>
              </w:drawing>
            </w:r>
          </w:p>
        </w:tc>
        <w:tc>
          <w:tcPr>
            <w:tcW w:w="7427" w:type="dxa"/>
          </w:tcPr>
          <w:p w14:paraId="2E629999" w14:textId="4EDBD648" w:rsidR="00635604" w:rsidRPr="00A97284" w:rsidRDefault="00635604" w:rsidP="00A97284">
            <w:pPr>
              <w:rPr>
                <w:i/>
                <w:iCs/>
                <w:sz w:val="18"/>
                <w:szCs w:val="20"/>
              </w:rPr>
            </w:pPr>
            <w:r w:rsidRPr="00A97284">
              <w:rPr>
                <w:i/>
                <w:iCs/>
              </w:rPr>
              <w:t>FEAD is the European Waste Management Association, representing the private waste and resource management industry across Europe, including 19 national waste management federations and 3,000 waste management companies. Private waste management companies operate in 60% of municipal waste markets in Europe and in 75% of industrial and commercial waste. This means more than 320,000 local jobs, fuelling €5 billion of investments into the economy every year.</w:t>
            </w:r>
          </w:p>
        </w:tc>
      </w:tr>
      <w:tr w:rsidR="00635604" w14:paraId="51771D35" w14:textId="77777777" w:rsidTr="001634AB">
        <w:trPr>
          <w:jc w:val="center"/>
        </w:trPr>
        <w:tc>
          <w:tcPr>
            <w:tcW w:w="2496" w:type="dxa"/>
          </w:tcPr>
          <w:p w14:paraId="20597733" w14:textId="77777777" w:rsidR="00635604" w:rsidRDefault="00635604" w:rsidP="001212D6">
            <w:pPr>
              <w:spacing w:before="0" w:after="0" w:line="240" w:lineRule="auto"/>
            </w:pPr>
            <w:r w:rsidRPr="004A1235">
              <w:rPr>
                <w:noProof/>
              </w:rPr>
              <w:drawing>
                <wp:anchor distT="0" distB="0" distL="114300" distR="114300" simplePos="0" relativeHeight="251658241" behindDoc="1" locked="0" layoutInCell="1" allowOverlap="1" wp14:anchorId="62BB7B8A" wp14:editId="4D7F4D14">
                  <wp:simplePos x="0" y="0"/>
                  <wp:positionH relativeFrom="column">
                    <wp:posOffset>-5715</wp:posOffset>
                  </wp:positionH>
                  <wp:positionV relativeFrom="paragraph">
                    <wp:posOffset>224155</wp:posOffset>
                  </wp:positionV>
                  <wp:extent cx="924560" cy="529590"/>
                  <wp:effectExtent l="0" t="0" r="8890" b="3810"/>
                  <wp:wrapSquare wrapText="bothSides"/>
                  <wp:docPr id="1045769541" name="Picture 3" descr="A blue logo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27720" name="Picture 3" descr="A blue logo with tex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24560" cy="529590"/>
                          </a:xfrm>
                          <a:prstGeom prst="rect">
                            <a:avLst/>
                          </a:prstGeom>
                        </pic:spPr>
                      </pic:pic>
                    </a:graphicData>
                  </a:graphic>
                  <wp14:sizeRelH relativeFrom="margin">
                    <wp14:pctWidth>0</wp14:pctWidth>
                  </wp14:sizeRelH>
                  <wp14:sizeRelV relativeFrom="margin">
                    <wp14:pctHeight>0</wp14:pctHeight>
                  </wp14:sizeRelV>
                </wp:anchor>
              </w:drawing>
            </w:r>
          </w:p>
        </w:tc>
        <w:tc>
          <w:tcPr>
            <w:tcW w:w="7427" w:type="dxa"/>
          </w:tcPr>
          <w:p w14:paraId="3343F768" w14:textId="10F586E1" w:rsidR="00635604" w:rsidRPr="00A97284" w:rsidRDefault="00635604" w:rsidP="00A97284">
            <w:pPr>
              <w:rPr>
                <w:i/>
                <w:iCs/>
                <w:sz w:val="18"/>
                <w:szCs w:val="20"/>
              </w:rPr>
            </w:pPr>
            <w:r w:rsidRPr="00A97284">
              <w:rPr>
                <w:i/>
                <w:iCs/>
              </w:rPr>
              <w:t>EERA is the voice of WEEE recycling in Europe being the professional association for the e-waste recycling and reprocessing industry. </w:t>
            </w:r>
            <w:r w:rsidRPr="00A97284">
              <w:rPr>
                <w:rFonts w:ascii="Arial" w:hAnsi="Arial" w:cs="Arial"/>
                <w:i/>
                <w:iCs/>
              </w:rPr>
              <w:t>​</w:t>
            </w:r>
            <w:r w:rsidRPr="00A97284">
              <w:rPr>
                <w:i/>
                <w:iCs/>
              </w:rPr>
              <w:t xml:space="preserve"> Our mission is to achieve a level playing field for fair competition in the WEEE value chain, harmonisation of regulations, effective and efficient recycling and reprocessing with prevention of pollution, minimization of emissions and a high quality of secondary raw materials and components.</w:t>
            </w:r>
            <w:r w:rsidRPr="00A97284">
              <w:rPr>
                <w:rFonts w:ascii="Arial" w:hAnsi="Arial" w:cs="Arial"/>
                <w:i/>
                <w:iCs/>
              </w:rPr>
              <w:t>​</w:t>
            </w:r>
            <w:r w:rsidRPr="00A97284">
              <w:rPr>
                <w:i/>
                <w:iCs/>
              </w:rPr>
              <w:t xml:space="preserve"> </w:t>
            </w:r>
          </w:p>
        </w:tc>
      </w:tr>
      <w:tr w:rsidR="00635604" w14:paraId="7DAD7C74" w14:textId="77777777" w:rsidTr="001634AB">
        <w:trPr>
          <w:jc w:val="center"/>
        </w:trPr>
        <w:tc>
          <w:tcPr>
            <w:tcW w:w="2496" w:type="dxa"/>
          </w:tcPr>
          <w:p w14:paraId="61A85E95" w14:textId="77777777" w:rsidR="00635604" w:rsidRDefault="00635604" w:rsidP="001212D6">
            <w:pPr>
              <w:spacing w:before="0" w:after="0" w:line="240" w:lineRule="auto"/>
            </w:pPr>
            <w:r w:rsidRPr="004A1235">
              <w:rPr>
                <w:noProof/>
              </w:rPr>
              <w:drawing>
                <wp:anchor distT="0" distB="0" distL="114300" distR="114300" simplePos="0" relativeHeight="251658242" behindDoc="1" locked="0" layoutInCell="1" allowOverlap="1" wp14:anchorId="27BCC572" wp14:editId="0FEF5D57">
                  <wp:simplePos x="0" y="0"/>
                  <wp:positionH relativeFrom="column">
                    <wp:posOffset>-5715</wp:posOffset>
                  </wp:positionH>
                  <wp:positionV relativeFrom="paragraph">
                    <wp:posOffset>238125</wp:posOffset>
                  </wp:positionV>
                  <wp:extent cx="1124585" cy="730250"/>
                  <wp:effectExtent l="0" t="0" r="0" b="0"/>
                  <wp:wrapSquare wrapText="bothSides"/>
                  <wp:docPr id="1441974776" name="Picture 4" descr="A logo with colorful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391982" name="Picture 4" descr="A logo with colorful dots&#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4585" cy="730250"/>
                          </a:xfrm>
                          <a:prstGeom prst="rect">
                            <a:avLst/>
                          </a:prstGeom>
                        </pic:spPr>
                      </pic:pic>
                    </a:graphicData>
                  </a:graphic>
                  <wp14:sizeRelH relativeFrom="margin">
                    <wp14:pctWidth>0</wp14:pctWidth>
                  </wp14:sizeRelH>
                  <wp14:sizeRelV relativeFrom="margin">
                    <wp14:pctHeight>0</wp14:pctHeight>
                  </wp14:sizeRelV>
                </wp:anchor>
              </w:drawing>
            </w:r>
          </w:p>
        </w:tc>
        <w:tc>
          <w:tcPr>
            <w:tcW w:w="7427" w:type="dxa"/>
          </w:tcPr>
          <w:p w14:paraId="4D7E3469" w14:textId="4845EBEA" w:rsidR="00635604" w:rsidRPr="00A97284" w:rsidRDefault="00635604" w:rsidP="00A97284">
            <w:pPr>
              <w:rPr>
                <w:i/>
                <w:iCs/>
                <w:sz w:val="18"/>
                <w:szCs w:val="20"/>
              </w:rPr>
            </w:pPr>
            <w:r w:rsidRPr="00A97284">
              <w:rPr>
                <w:i/>
                <w:iCs/>
              </w:rPr>
              <w:t>EuRIC is an umbrella organisation for European Recycling Industries. Through its Members, EuRIC represents companies involved in the collection, processing, recycling, transport and trade of a variety of recyclables (metals, paper, plastics, glass and beyond) across Europe. By servicing its Members, EuRIC contributes to promote recycling, which is first and foremost a business activity driven by an ecosystem of thousands of Small and Medium-size Enterprises (SMEs) and fewer but equally important larger companies. All of them are local and global actors</w:t>
            </w:r>
          </w:p>
        </w:tc>
      </w:tr>
      <w:tr w:rsidR="00635604" w14:paraId="2D8B7680" w14:textId="77777777" w:rsidTr="001634AB">
        <w:trPr>
          <w:jc w:val="center"/>
        </w:trPr>
        <w:tc>
          <w:tcPr>
            <w:tcW w:w="2496" w:type="dxa"/>
          </w:tcPr>
          <w:p w14:paraId="038C65F4" w14:textId="77777777" w:rsidR="00635604" w:rsidRDefault="00635604" w:rsidP="001212D6">
            <w:pPr>
              <w:spacing w:before="0" w:after="0" w:line="240" w:lineRule="auto"/>
            </w:pPr>
            <w:r w:rsidRPr="004A1235">
              <w:rPr>
                <w:noProof/>
              </w:rPr>
              <w:drawing>
                <wp:anchor distT="0" distB="0" distL="114300" distR="114300" simplePos="0" relativeHeight="251658243" behindDoc="1" locked="0" layoutInCell="1" allowOverlap="1" wp14:anchorId="6CDC8B8C" wp14:editId="63E27BDC">
                  <wp:simplePos x="0" y="0"/>
                  <wp:positionH relativeFrom="margin">
                    <wp:posOffset>-6350</wp:posOffset>
                  </wp:positionH>
                  <wp:positionV relativeFrom="paragraph">
                    <wp:posOffset>224155</wp:posOffset>
                  </wp:positionV>
                  <wp:extent cx="1439545" cy="546735"/>
                  <wp:effectExtent l="0" t="0" r="8255" b="5715"/>
                  <wp:wrapSquare wrapText="bothSides"/>
                  <wp:docPr id="1685866530" name="Picture 1" descr="A logo with text and st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570989" name="Picture 1" descr="A logo with text and stars&#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1439545" cy="546735"/>
                          </a:xfrm>
                          <a:prstGeom prst="rect">
                            <a:avLst/>
                          </a:prstGeom>
                        </pic:spPr>
                      </pic:pic>
                    </a:graphicData>
                  </a:graphic>
                </wp:anchor>
              </w:drawing>
            </w:r>
          </w:p>
        </w:tc>
        <w:tc>
          <w:tcPr>
            <w:tcW w:w="7427" w:type="dxa"/>
          </w:tcPr>
          <w:p w14:paraId="196AB416" w14:textId="68833F83" w:rsidR="00BF6F7B" w:rsidRPr="00A97284" w:rsidRDefault="00635604" w:rsidP="00A97284">
            <w:pPr>
              <w:rPr>
                <w:i/>
                <w:iCs/>
                <w:sz w:val="18"/>
                <w:szCs w:val="20"/>
              </w:rPr>
            </w:pPr>
            <w:r w:rsidRPr="00A97284">
              <w:rPr>
                <w:i/>
                <w:iCs/>
              </w:rPr>
              <w:t>Plastics Recyclers Europe (PRE) is an organization representing the voice of the European plastics recyclers who reprocess plastic waste into high quality material destined for production of new articles. Recyclers are important facilitators of the circularity of plastics and the transition towards the circular economy. Plastics recycling in Europe is a rapidly growing sector representing over €8.7 billion in turnover, 11.3 million tonnes of installed recycling capacity, more than 730 recycling facilities, and over 30.000 employees.</w:t>
            </w:r>
          </w:p>
        </w:tc>
      </w:tr>
    </w:tbl>
    <w:p w14:paraId="5A4DE36A" w14:textId="77777777" w:rsidR="00635604" w:rsidRPr="00C9505B" w:rsidRDefault="00635604" w:rsidP="00635604">
      <w:pPr>
        <w:sectPr w:rsidR="00635604" w:rsidRPr="00C9505B" w:rsidSect="00B92E75">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cols w:space="708"/>
          <w:titlePg/>
          <w:docGrid w:linePitch="360"/>
        </w:sectPr>
      </w:pPr>
    </w:p>
    <w:p w14:paraId="21AB1F61" w14:textId="23706F1C" w:rsidR="00B02D7C" w:rsidRDefault="00B02D7C">
      <w:pPr>
        <w:spacing w:before="0" w:after="0" w:line="240" w:lineRule="auto"/>
        <w:jc w:val="left"/>
      </w:pPr>
      <w:r>
        <w:br w:type="page"/>
      </w:r>
    </w:p>
    <w:p w14:paraId="52CAC48D" w14:textId="4285747E" w:rsidR="00393313" w:rsidRDefault="00393313" w:rsidP="00393313">
      <w:pPr>
        <w:pStyle w:val="Heading1"/>
      </w:pPr>
      <w:r w:rsidRPr="00CD6C87">
        <w:rPr>
          <w:u w:val="single"/>
        </w:rPr>
        <w:lastRenderedPageBreak/>
        <w:t>Annex I</w:t>
      </w:r>
      <w:r w:rsidRPr="00B02D7C">
        <w:t xml:space="preserve"> </w:t>
      </w:r>
      <w:r>
        <w:t>Explanation for the choice of Extruded Plaques</w:t>
      </w:r>
    </w:p>
    <w:p w14:paraId="47E331C3" w14:textId="77777777" w:rsidR="00393313" w:rsidRPr="00A67170" w:rsidRDefault="00393313" w:rsidP="00393313">
      <w:r>
        <w:t>The primary reason for desiring extruded plaques as samples instead of samples of recyclate as such is that recyclate is often supplied to the market as regrind (also known as flakes</w:t>
      </w:r>
      <w:r>
        <w:rPr>
          <w:rStyle w:val="FootnoteReference"/>
        </w:rPr>
        <w:footnoteReference w:id="7"/>
      </w:r>
      <w:r>
        <w:t>).</w:t>
      </w:r>
    </w:p>
    <w:p w14:paraId="71F8DCD4" w14:textId="77777777" w:rsidR="00393313" w:rsidRDefault="00393313" w:rsidP="00393313">
      <w:r>
        <w:t xml:space="preserve">Regrind is a substance/mixture under REACH of cleaned size reduced pieces of the original waste articles. Each individual piece thus has the chemical composition of the article. To obtain the chemical composition of a big bag or batch of such material one would have to ensure that when analysed enough individual pieces are included. If sent in its raw state to an analytical laboratory several hundreds of grams of material would have to be subjected to solvent extraction or other extraction technique prior to injection in chromatographic equipment (e.g. GC or LC) coupled with a detector system (normally MS). </w:t>
      </w:r>
    </w:p>
    <w:p w14:paraId="733CACCB" w14:textId="77777777" w:rsidR="00393313" w:rsidRDefault="00393313" w:rsidP="00393313">
      <w:r>
        <w:t xml:space="preserve">Analytical laboratories and analytical chemists in general tend to be familiar in handling a few grams or even micrograms of material. Equipment is normally not set up to treat such (in their eyes) humongous bulks of material. As such good, involved, and honest laboratories will simply refuse to analyse such samples (or suggest a way to homogenise the samples). Bad or simply poorly informed laboratories that do not realise the need to have such a mass analysed would take just one or two flakes and perform the analysis on this and report the results as being for the entire batch of material; without informing the client that only one or two flakes were analysed. </w:t>
      </w:r>
    </w:p>
    <w:p w14:paraId="79BDEAA5" w14:textId="77777777" w:rsidR="00393313" w:rsidRDefault="00393313" w:rsidP="00393313">
      <w:r>
        <w:t>From a scientific perspective there are two ways to deal with this phenomenon. Firstly, one could take the 100+ gram regrind sample and grind this in its entirety, mix it well, and take a small subsample (e.g. 1 gram) for chemical analysis. Alternatively, one can pull the material through a (lab) extruder and thus mix the regrind in the melt phase. Scientifically these two methods are roughly equal. There may be some scepticism on whether mixing in the melt phase would really produce a homogenous material. However, given the uniform colour that is obtained when mixing material with all sorts of diffident colours, this seems to be the case</w:t>
      </w:r>
      <w:r>
        <w:rPr>
          <w:rStyle w:val="FootnoteReference"/>
        </w:rPr>
        <w:footnoteReference w:id="8"/>
      </w:r>
      <w:r>
        <w:t xml:space="preserve">. </w:t>
      </w:r>
    </w:p>
    <w:p w14:paraId="05DFA25F" w14:textId="77777777" w:rsidR="00393313" w:rsidRDefault="00393313" w:rsidP="00393313">
      <w:r>
        <w:t xml:space="preserve">From a practical perspective, however, quite a few recyclers will have a laboratory extruder in their laboratory and the ability to produce plaques of material. Such plaques and extruded material are used to determine to a degree polymer composition (e.g. through differential scanning colometry) and physical mechanical properties (e.g. tear strength, impact resistance). Recyclers do not have the equipment to perform cryogenic grinding. </w:t>
      </w:r>
    </w:p>
    <w:p w14:paraId="6F64D5AC" w14:textId="77777777" w:rsidR="00393313" w:rsidRPr="00B16A83" w:rsidRDefault="00393313" w:rsidP="00393313">
      <w:r>
        <w:t xml:space="preserve">In chemical analytical laboratories this is the other way around. Quite a few laboratories will have cryogenic mills, while only very few specialised in plastics will have laboratory extruders. However, such cryogenic mills are normally more used to turn a solid material to a powder to increase the surface area prior to an extraction process. Grinding 100+ gram in these devices would still be a chore and quite unusual. The practical risk would remain that the analyst charged with the procedure would simply take one or two flakes, grind this and perform all subsequent steps of the analysis with material thus obtained; with the end result being data not representative of the big bag/batch. Laboratory extruders do not have this risk since they require being fed with 100+ grams to operate. </w:t>
      </w:r>
    </w:p>
    <w:p w14:paraId="0A662C69" w14:textId="77777777" w:rsidR="00393313" w:rsidRDefault="00393313" w:rsidP="00393313">
      <w:r>
        <w:t xml:space="preserve">There are three added benefits from the extruded plaque approach. </w:t>
      </w:r>
    </w:p>
    <w:p w14:paraId="5ADA1186" w14:textId="77777777" w:rsidR="00393313" w:rsidRPr="00393313" w:rsidRDefault="00393313" w:rsidP="00B02D7C">
      <w:pPr>
        <w:pStyle w:val="ListParagraph"/>
        <w:numPr>
          <w:ilvl w:val="0"/>
          <w:numId w:val="3"/>
        </w:numPr>
      </w:pPr>
      <w:r w:rsidRPr="00393313">
        <w:lastRenderedPageBreak/>
        <w:t>Firstly, plaques can also be analysed with XRF a technique that is being adopted by some recyclers for quality control purposes. For example, the calcium content thus obtained is a proxy for calcium carbonate filler content. Lower content of this tends to mean better physical mechanical properties. The XRF guns can also give some regulatory pertinent tacit information. High bromine content tends to be indicative of brominated flame retardants (BFRs) in the big bag/batch, while a low content would mean that BFRs cannot be present above certain levels. (On a side note, unfortunately these XRF guns cannot detect fluorine. In fact, they struggle with chlorine, with order of magnitude greater limits of detection (several hundred ppm to 150,000 ppm) compared to bigger elements such as bromine for which detection limits are in the ppm range.)</w:t>
      </w:r>
    </w:p>
    <w:p w14:paraId="1BB6985F" w14:textId="2B02B398" w:rsidR="00393313" w:rsidRPr="00393313" w:rsidRDefault="00393313" w:rsidP="00B02D7C">
      <w:pPr>
        <w:pStyle w:val="ListParagraph"/>
        <w:numPr>
          <w:ilvl w:val="0"/>
          <w:numId w:val="3"/>
        </w:numPr>
      </w:pPr>
      <w:r w:rsidRPr="00393313">
        <w:t>Secondly, the regrind in subsequent production steps will be molten at least once. Performing an analysis of the material that has gone through a similar thermal processing step would be more representative of what the final articles will become.</w:t>
      </w:r>
    </w:p>
    <w:p w14:paraId="5CEFEC22" w14:textId="77777777" w:rsidR="00393313" w:rsidRPr="00393313" w:rsidRDefault="00393313" w:rsidP="00B02D7C">
      <w:pPr>
        <w:pStyle w:val="ListParagraph"/>
        <w:numPr>
          <w:ilvl w:val="0"/>
          <w:numId w:val="3"/>
        </w:numPr>
      </w:pPr>
      <w:r w:rsidRPr="00393313">
        <w:t>Thirdly, a plaque is simply more convenient to store, ship, and otherwise handle than a fine powde</w:t>
      </w:r>
      <w:r w:rsidR="00FC146E">
        <w:t>r</w:t>
      </w:r>
      <w:r w:rsidR="00DC7EBF">
        <w:t>.</w:t>
      </w:r>
    </w:p>
    <w:sectPr w:rsidR="00393313" w:rsidRPr="00393313" w:rsidSect="00B02D7C">
      <w:headerReference w:type="even" r:id="rId23"/>
      <w:headerReference w:type="default" r:id="rId24"/>
      <w:headerReference w:type="first" r:id="rId25"/>
      <w:type w:val="continuous"/>
      <w:pgSz w:w="11906" w:h="16838"/>
      <w:pgMar w:top="1440" w:right="1440" w:bottom="1440" w:left="1440" w:header="708" w:footer="66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C23D85" w14:textId="77777777" w:rsidR="005F7456" w:rsidRDefault="005F7456" w:rsidP="00B44795">
      <w:r>
        <w:separator/>
      </w:r>
    </w:p>
  </w:endnote>
  <w:endnote w:type="continuationSeparator" w:id="0">
    <w:p w14:paraId="2849F9C5" w14:textId="77777777" w:rsidR="005F7456" w:rsidRDefault="005F7456" w:rsidP="00B44795">
      <w:r>
        <w:continuationSeparator/>
      </w:r>
    </w:p>
  </w:endnote>
  <w:endnote w:type="continuationNotice" w:id="1">
    <w:p w14:paraId="46F508F0" w14:textId="77777777" w:rsidR="005F7456" w:rsidRDefault="005F74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rimson Roman">
    <w:altName w:val="Cambria"/>
    <w:panose1 w:val="00000000000000000000"/>
    <w:charset w:val="00"/>
    <w:family w:val="roman"/>
    <w:notTrueType/>
    <w:pitch w:val="variable"/>
    <w:sig w:usb0="E00002EF" w:usb1="0000006B" w:usb2="00000000" w:usb3="00000000" w:csb0="0000009F" w:csb1="00000000"/>
  </w:font>
  <w:font w:name="Crimson Text">
    <w:altName w:val="Calibri"/>
    <w:charset w:val="00"/>
    <w:family w:val="auto"/>
    <w:pitch w:val="variable"/>
    <w:sig w:usb0="80000043" w:usb1="40000062" w:usb2="00000000" w:usb3="00000000" w:csb0="00000001" w:csb1="00000000"/>
  </w:font>
  <w:font w:name="Averia Sans Libre">
    <w:altName w:val="Calibri"/>
    <w:charset w:val="00"/>
    <w:family w:val="auto"/>
    <w:pitch w:val="variable"/>
    <w:sig w:usb0="8000002F" w:usb1="0000004A"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36237D" w14:textId="77777777" w:rsidR="00E40A09" w:rsidRDefault="00E40A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B68676" w14:textId="77777777" w:rsidR="00635604" w:rsidRPr="001F0828" w:rsidRDefault="00635604" w:rsidP="001634AB">
    <w:pPr>
      <w:pStyle w:val="Footer"/>
      <w:jc w:val="right"/>
    </w:pPr>
    <w:r>
      <w:fldChar w:fldCharType="begin"/>
    </w:r>
    <w:r>
      <w:instrText xml:space="preserve"> PAGE   \* MERGEFORMAT </w:instrText>
    </w:r>
    <w:r>
      <w:fldChar w:fldCharType="separate"/>
    </w:r>
    <w:r>
      <w:rPr>
        <w:noProof/>
      </w:rPr>
      <w:t>2</w:t>
    </w:r>
    <w:r>
      <w:fldChar w:fldCharType="end"/>
    </w:r>
    <w:r>
      <w:t xml:space="preserve"> / </w:t>
    </w:r>
    <w:r w:rsidR="00E46D51">
      <w:fldChar w:fldCharType="begin"/>
    </w:r>
    <w:r w:rsidR="00E46D51">
      <w:instrText xml:space="preserve"> NUMPAGES   \* MERGEFORMAT </w:instrText>
    </w:r>
    <w:r w:rsidR="00E46D51">
      <w:fldChar w:fldCharType="separate"/>
    </w:r>
    <w:r>
      <w:rPr>
        <w:noProof/>
      </w:rPr>
      <w:t>12</w:t>
    </w:r>
    <w:r w:rsidR="00E46D51">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AD51CB" w14:textId="4318C4D8" w:rsidR="005B5838" w:rsidRDefault="005B5838" w:rsidP="005B5838">
    <w:pPr>
      <w:pStyle w:val="Footer"/>
      <w:jc w:val="right"/>
    </w:pPr>
    <w:r>
      <w:fldChar w:fldCharType="begin"/>
    </w:r>
    <w:r>
      <w:instrText xml:space="preserve"> PAGE   \* MERGEFORMAT </w:instrText>
    </w:r>
    <w:r>
      <w:fldChar w:fldCharType="separate"/>
    </w:r>
    <w:r>
      <w:rPr>
        <w:noProof/>
      </w:rPr>
      <w:t>1</w:t>
    </w:r>
    <w:r>
      <w:fldChar w:fldCharType="end"/>
    </w:r>
    <w:r>
      <w:t xml:space="preserve"> / </w:t>
    </w:r>
    <w:r w:rsidR="00E46D51">
      <w:fldChar w:fldCharType="begin"/>
    </w:r>
    <w:r w:rsidR="00E46D51">
      <w:instrText xml:space="preserve"> NUMPAGES   \* MERGEFORMAT </w:instrText>
    </w:r>
    <w:r w:rsidR="00E46D51">
      <w:fldChar w:fldCharType="separate"/>
    </w:r>
    <w:r>
      <w:rPr>
        <w:noProof/>
      </w:rPr>
      <w:t>6</w:t>
    </w:r>
    <w:r w:rsidR="00E46D51">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D110A7" w14:textId="77777777" w:rsidR="005F7456" w:rsidRDefault="005F7456" w:rsidP="00B44795">
      <w:r>
        <w:separator/>
      </w:r>
    </w:p>
  </w:footnote>
  <w:footnote w:type="continuationSeparator" w:id="0">
    <w:p w14:paraId="0D79A17C" w14:textId="77777777" w:rsidR="005F7456" w:rsidRDefault="005F7456" w:rsidP="00B44795">
      <w:r>
        <w:continuationSeparator/>
      </w:r>
    </w:p>
  </w:footnote>
  <w:footnote w:type="continuationNotice" w:id="1">
    <w:p w14:paraId="1AC6A921" w14:textId="77777777" w:rsidR="005F7456" w:rsidRDefault="005F7456"/>
  </w:footnote>
  <w:footnote w:id="2">
    <w:p w14:paraId="6C71D8D6" w14:textId="77777777" w:rsidR="00307970" w:rsidRPr="00205EE0" w:rsidRDefault="00307970" w:rsidP="00307970">
      <w:pPr>
        <w:pStyle w:val="FootnoteText"/>
      </w:pPr>
      <w:r>
        <w:rPr>
          <w:rStyle w:val="FootnoteReference"/>
        </w:rPr>
        <w:footnoteRef/>
      </w:r>
      <w:r>
        <w:t xml:space="preserve"> </w:t>
      </w:r>
      <w:r w:rsidRPr="006C496B">
        <w:rPr>
          <w:sz w:val="18"/>
          <w:szCs w:val="18"/>
        </w:rPr>
        <w:t>A UV absorber is a molecule that absorbs UV radiation and converts this to molecular vibration (heat) and sometimes a photon with a higher wavelength/lower energy.</w:t>
      </w:r>
    </w:p>
  </w:footnote>
  <w:footnote w:id="3">
    <w:p w14:paraId="579020D6" w14:textId="1BFE5333" w:rsidR="00A91D16" w:rsidRPr="00A91D16" w:rsidRDefault="00A91D16">
      <w:pPr>
        <w:pStyle w:val="FootnoteText"/>
      </w:pPr>
      <w:r>
        <w:rPr>
          <w:rStyle w:val="FootnoteReference"/>
        </w:rPr>
        <w:footnoteRef/>
      </w:r>
      <w:r>
        <w:t xml:space="preserve"> </w:t>
      </w:r>
      <w:r w:rsidRPr="0045694E">
        <w:rPr>
          <w:sz w:val="18"/>
          <w:szCs w:val="18"/>
        </w:rPr>
        <w:t xml:space="preserve">OEKO-TEX® is a certification scheme for the textile industry. It is not an official EN or ISO standard, typically meaning that between laboratory validation work has not been done.  </w:t>
      </w:r>
    </w:p>
  </w:footnote>
  <w:footnote w:id="4">
    <w:p w14:paraId="134EFA32" w14:textId="77777777" w:rsidR="0097249E" w:rsidRDefault="0097249E" w:rsidP="0097249E">
      <w:r>
        <w:rPr>
          <w:rStyle w:val="FootnoteReference"/>
        </w:rPr>
        <w:footnoteRef/>
      </w:r>
      <w:r>
        <w:t xml:space="preserve"> (For a more extensive deliberation on this subject, see for example, the </w:t>
      </w:r>
      <w:hyperlink r:id="rId1" w:history="1">
        <w:r w:rsidRPr="00D6214B">
          <w:rPr>
            <w:rStyle w:val="Hyperlink"/>
          </w:rPr>
          <w:t>waste and recycling coalition paper on Dechlorane Plus</w:t>
        </w:r>
      </w:hyperlink>
      <w:r>
        <w:t>).</w:t>
      </w:r>
    </w:p>
    <w:p w14:paraId="206C59BD" w14:textId="57E111BA" w:rsidR="0097249E" w:rsidRPr="0097249E" w:rsidRDefault="0097249E">
      <w:pPr>
        <w:pStyle w:val="FootnoteText"/>
      </w:pPr>
    </w:p>
  </w:footnote>
  <w:footnote w:id="5">
    <w:p w14:paraId="208BD8D1" w14:textId="77777777" w:rsidR="005E17EE" w:rsidRPr="00F82343" w:rsidRDefault="005E17EE" w:rsidP="005E17EE">
      <w:pPr>
        <w:pStyle w:val="FootnoteText"/>
        <w:jc w:val="left"/>
        <w:rPr>
          <w:sz w:val="18"/>
          <w:szCs w:val="18"/>
        </w:rPr>
      </w:pPr>
      <w:r w:rsidRPr="00F82343">
        <w:rPr>
          <w:sz w:val="18"/>
          <w:szCs w:val="18"/>
        </w:rPr>
        <w:footnoteRef/>
      </w:r>
      <w:r w:rsidRPr="00F82343">
        <w:rPr>
          <w:sz w:val="18"/>
          <w:szCs w:val="18"/>
        </w:rPr>
        <w:t xml:space="preserve"> Available </w:t>
      </w:r>
      <w:hyperlink r:id="rId2" w:history="1">
        <w:r>
          <w:rPr>
            <w:rStyle w:val="Hyperlink"/>
            <w:sz w:val="18"/>
            <w:szCs w:val="18"/>
          </w:rPr>
          <w:t>the Stockholm Convention Website</w:t>
        </w:r>
      </w:hyperlink>
    </w:p>
  </w:footnote>
  <w:footnote w:id="6">
    <w:p w14:paraId="5E787918" w14:textId="4C28F23F" w:rsidR="006C496B" w:rsidRPr="006C496B" w:rsidRDefault="0025080F" w:rsidP="006C496B">
      <w:pPr>
        <w:pStyle w:val="FootnoteText"/>
      </w:pPr>
      <w:r>
        <w:rPr>
          <w:rStyle w:val="FootnoteReference"/>
        </w:rPr>
        <w:footnoteRef/>
      </w:r>
      <w:r w:rsidRPr="006C496B">
        <w:t xml:space="preserve"> </w:t>
      </w:r>
      <w:r w:rsidR="006C496B">
        <w:rPr>
          <w:sz w:val="18"/>
          <w:szCs w:val="18"/>
        </w:rPr>
        <w:t>S</w:t>
      </w:r>
      <w:r w:rsidR="006C496B" w:rsidRPr="006C496B">
        <w:rPr>
          <w:sz w:val="18"/>
          <w:szCs w:val="18"/>
        </w:rPr>
        <w:t xml:space="preserve">ee paper submitted to </w:t>
      </w:r>
      <w:hyperlink r:id="rId3" w:history="1">
        <w:r w:rsidR="006C496B" w:rsidRPr="006C496B">
          <w:rPr>
            <w:color w:val="71C09C" w:themeColor="accent3"/>
            <w:sz w:val="18"/>
            <w:szCs w:val="18"/>
            <w:u w:val="single"/>
          </w:rPr>
          <w:t>CIRCABC</w:t>
        </w:r>
      </w:hyperlink>
      <w:r w:rsidR="006C496B" w:rsidRPr="006C496B">
        <w:rPr>
          <w:color w:val="71C09C" w:themeColor="accent3"/>
          <w:sz w:val="18"/>
          <w:szCs w:val="18"/>
        </w:rPr>
        <w:t xml:space="preserve"> </w:t>
      </w:r>
      <w:r w:rsidR="006C496B" w:rsidRPr="006C496B">
        <w:rPr>
          <w:sz w:val="18"/>
          <w:szCs w:val="18"/>
        </w:rPr>
        <w:t>for the 29th POP CA meeting.</w:t>
      </w:r>
    </w:p>
    <w:p w14:paraId="218499B5" w14:textId="4ECA7A4A" w:rsidR="0025080F" w:rsidRPr="006C496B" w:rsidRDefault="0025080F">
      <w:pPr>
        <w:pStyle w:val="FootnoteText"/>
      </w:pPr>
    </w:p>
  </w:footnote>
  <w:footnote w:id="7">
    <w:p w14:paraId="6963B7F9" w14:textId="77777777" w:rsidR="00393313" w:rsidRDefault="00393313" w:rsidP="00393313">
      <w:pPr>
        <w:pStyle w:val="FootnoteText"/>
      </w:pPr>
      <w:r>
        <w:rPr>
          <w:rStyle w:val="FootnoteReference"/>
        </w:rPr>
        <w:footnoteRef/>
      </w:r>
      <w:r>
        <w:t xml:space="preserve"> The PET recycling sector tends to speak of flakes, while other sectors refer to material in a similar state as regrind. </w:t>
      </w:r>
    </w:p>
  </w:footnote>
  <w:footnote w:id="8">
    <w:p w14:paraId="3195CD4F" w14:textId="77777777" w:rsidR="00393313" w:rsidRDefault="00393313" w:rsidP="00393313">
      <w:pPr>
        <w:pStyle w:val="FootnoteText"/>
      </w:pPr>
      <w:r>
        <w:rPr>
          <w:rStyle w:val="FootnoteReference"/>
        </w:rPr>
        <w:footnoteRef/>
      </w:r>
      <w:r>
        <w:t xml:space="preserve"> Colour in plastics is normally the result of the use of pigments, which are astronomically larger than molecules such as additives, which would move much more freely in the melt phase.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B37C45" w14:textId="568291D3" w:rsidR="00E40A09" w:rsidRDefault="00E46D51">
    <w:pPr>
      <w:pStyle w:val="Header"/>
    </w:pPr>
    <w:r>
      <w:rPr>
        <w:noProof/>
      </w:rPr>
      <w:pict w14:anchorId="254EAE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0;margin-top:0;width:454.5pt;height:181.8pt;rotation:315;z-index:-251658239;mso-position-horizontal:center;mso-position-horizontal-relative:margin;mso-position-vertical:center;mso-position-vertical-relative:margin" o:allowincell="f" fillcolor="#666" stroked="f">
          <v:fill opacity=".5"/>
          <v:textpath style="font-family:&quot;Century Gothic&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EB8020" w14:textId="513B7416" w:rsidR="00E40A09" w:rsidRDefault="00E46D51">
    <w:pPr>
      <w:pStyle w:val="Header"/>
    </w:pPr>
    <w:r>
      <w:rPr>
        <w:noProof/>
      </w:rPr>
      <w:pict w14:anchorId="5D1387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left:0;text-align:left;margin-left:0;margin-top:0;width:454.5pt;height:181.8pt;rotation:315;z-index:-251658238;mso-position-horizontal:center;mso-position-horizontal-relative:margin;mso-position-vertical:center;mso-position-vertical-relative:margin" o:allowincell="f" fillcolor="#666" stroked="f">
          <v:fill opacity=".5"/>
          <v:textpath style="font-family:&quot;Century Gothic&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64"/>
      <w:gridCol w:w="2765"/>
      <w:gridCol w:w="2764"/>
      <w:gridCol w:w="2765"/>
    </w:tblGrid>
    <w:tr w:rsidR="00635604" w14:paraId="00404548" w14:textId="77777777" w:rsidTr="001634AB">
      <w:tc>
        <w:tcPr>
          <w:tcW w:w="2764" w:type="dxa"/>
          <w:vAlign w:val="center"/>
        </w:tcPr>
        <w:p w14:paraId="51940CAC" w14:textId="77777777" w:rsidR="00635604" w:rsidRDefault="00635604" w:rsidP="001634AB">
          <w:pPr>
            <w:pStyle w:val="Header"/>
            <w:jc w:val="center"/>
          </w:pPr>
          <w:r>
            <w:rPr>
              <w:noProof/>
            </w:rPr>
            <w:drawing>
              <wp:inline distT="0" distB="0" distL="0" distR="0" wp14:anchorId="60E42A42" wp14:editId="2C361519">
                <wp:extent cx="1614750" cy="839037"/>
                <wp:effectExtent l="0" t="0" r="5080" b="0"/>
                <wp:docPr id="409439112" name="Picture 2" descr="A blue and orang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963426" name="Picture 2" descr="A blue and orange text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39085" cy="851682"/>
                        </a:xfrm>
                        <a:prstGeom prst="rect">
                          <a:avLst/>
                        </a:prstGeom>
                      </pic:spPr>
                    </pic:pic>
                  </a:graphicData>
                </a:graphic>
              </wp:inline>
            </w:drawing>
          </w:r>
        </w:p>
      </w:tc>
      <w:tc>
        <w:tcPr>
          <w:tcW w:w="2765" w:type="dxa"/>
          <w:vAlign w:val="center"/>
        </w:tcPr>
        <w:p w14:paraId="37B6FDD3" w14:textId="77777777" w:rsidR="00635604" w:rsidRDefault="00635604" w:rsidP="001634AB">
          <w:pPr>
            <w:pStyle w:val="Header"/>
            <w:jc w:val="center"/>
          </w:pPr>
          <w:r>
            <w:rPr>
              <w:noProof/>
            </w:rPr>
            <w:drawing>
              <wp:inline distT="0" distB="0" distL="0" distR="0" wp14:anchorId="31D421DF" wp14:editId="32242DEC">
                <wp:extent cx="1499355" cy="859134"/>
                <wp:effectExtent l="0" t="0" r="5715" b="0"/>
                <wp:docPr id="915005379" name="Picture 3" descr="A blue logo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27720" name="Picture 3" descr="A blue logo with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519769" cy="870831"/>
                        </a:xfrm>
                        <a:prstGeom prst="rect">
                          <a:avLst/>
                        </a:prstGeom>
                      </pic:spPr>
                    </pic:pic>
                  </a:graphicData>
                </a:graphic>
              </wp:inline>
            </w:drawing>
          </w:r>
        </w:p>
      </w:tc>
      <w:tc>
        <w:tcPr>
          <w:tcW w:w="2764" w:type="dxa"/>
          <w:vAlign w:val="center"/>
        </w:tcPr>
        <w:p w14:paraId="02344B3E" w14:textId="77777777" w:rsidR="00635604" w:rsidRDefault="00635604" w:rsidP="001634AB">
          <w:pPr>
            <w:pStyle w:val="Header"/>
            <w:jc w:val="center"/>
          </w:pPr>
          <w:r>
            <w:rPr>
              <w:noProof/>
            </w:rPr>
            <w:drawing>
              <wp:inline distT="0" distB="0" distL="0" distR="0" wp14:anchorId="31027C45" wp14:editId="47662C1F">
                <wp:extent cx="1472084" cy="956739"/>
                <wp:effectExtent l="0" t="0" r="0" b="0"/>
                <wp:docPr id="1362885432" name="Picture 4" descr="A logo with colorful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391982" name="Picture 4" descr="A logo with colorful dots&#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478035" cy="960607"/>
                        </a:xfrm>
                        <a:prstGeom prst="rect">
                          <a:avLst/>
                        </a:prstGeom>
                      </pic:spPr>
                    </pic:pic>
                  </a:graphicData>
                </a:graphic>
              </wp:inline>
            </w:drawing>
          </w:r>
        </w:p>
      </w:tc>
      <w:tc>
        <w:tcPr>
          <w:tcW w:w="2765" w:type="dxa"/>
          <w:vAlign w:val="center"/>
        </w:tcPr>
        <w:p w14:paraId="2B3736DB" w14:textId="77777777" w:rsidR="00635604" w:rsidRDefault="00635604" w:rsidP="001634AB">
          <w:pPr>
            <w:pStyle w:val="Header"/>
            <w:jc w:val="center"/>
          </w:pPr>
          <w:r>
            <w:rPr>
              <w:noProof/>
            </w:rPr>
            <w:drawing>
              <wp:inline distT="0" distB="0" distL="0" distR="0" wp14:anchorId="35B77EEC" wp14:editId="5B8CFF85">
                <wp:extent cx="1642905" cy="624091"/>
                <wp:effectExtent l="0" t="0" r="0" b="5080"/>
                <wp:docPr id="1058442430" name="Picture 1" descr="A logo with text and st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570989" name="Picture 1" descr="A logo with text and stars&#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1668688" cy="633885"/>
                        </a:xfrm>
                        <a:prstGeom prst="rect">
                          <a:avLst/>
                        </a:prstGeom>
                      </pic:spPr>
                    </pic:pic>
                  </a:graphicData>
                </a:graphic>
              </wp:inline>
            </w:drawing>
          </w:r>
        </w:p>
      </w:tc>
    </w:tr>
  </w:tbl>
  <w:p w14:paraId="3CAE9DD8" w14:textId="44342D6E" w:rsidR="00635604" w:rsidRPr="001634AB" w:rsidRDefault="00E46D51" w:rsidP="001634AB">
    <w:pPr>
      <w:pStyle w:val="Header"/>
      <w:spacing w:before="0" w:after="0" w:line="240" w:lineRule="auto"/>
      <w:rPr>
        <w:sz w:val="2"/>
        <w:szCs w:val="4"/>
      </w:rPr>
    </w:pPr>
    <w:r>
      <w:rPr>
        <w:noProof/>
      </w:rPr>
      <w:pict w14:anchorId="1DDC49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6" type="#_x0000_t136" style="position:absolute;left:0;text-align:left;margin-left:0;margin-top:0;width:454.5pt;height:181.8pt;rotation:315;z-index:-251658240;mso-position-horizontal:center;mso-position-horizontal-relative:margin;mso-position-vertical:center;mso-position-vertical-relative:margin" o:allowincell="f" fillcolor="#666" stroked="f">
          <v:fill opacity=".5"/>
          <v:textpath style="font-family:&quot;Century Gothic&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858F93" w14:textId="0B93DB0C" w:rsidR="00E40A09" w:rsidRDefault="00E46D51">
    <w:pPr>
      <w:pStyle w:val="Header"/>
    </w:pPr>
    <w:r>
      <w:rPr>
        <w:noProof/>
      </w:rPr>
      <w:pict w14:anchorId="239AFA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left:0;text-align:left;margin-left:0;margin-top:0;width:454.5pt;height:181.8pt;rotation:315;z-index:-251658236;mso-position-horizontal:center;mso-position-horizontal-relative:margin;mso-position-vertical:center;mso-position-vertical-relative:margin" o:allowincell="f" fillcolor="#666" stroked="f">
          <v:fill opacity=".5"/>
          <v:textpath style="font-family:&quot;Century Gothic&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3097FE" w14:textId="010F7D41" w:rsidR="00E40A09" w:rsidRDefault="00E46D51">
    <w:pPr>
      <w:pStyle w:val="Header"/>
    </w:pPr>
    <w:r>
      <w:rPr>
        <w:noProof/>
      </w:rPr>
      <w:pict w14:anchorId="215626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1" type="#_x0000_t136" style="position:absolute;left:0;text-align:left;margin-left:0;margin-top:0;width:454.5pt;height:181.8pt;rotation:315;z-index:-251658235;mso-position-horizontal:center;mso-position-horizontal-relative:margin;mso-position-vertical:center;mso-position-vertical-relative:margin" o:allowincell="f" fillcolor="#666" stroked="f">
          <v:fill opacity=".5"/>
          <v:textpath style="font-family:&quot;Century Gothic&quot;;font-size:1p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64"/>
      <w:gridCol w:w="2765"/>
      <w:gridCol w:w="2764"/>
      <w:gridCol w:w="2765"/>
    </w:tblGrid>
    <w:tr w:rsidR="00DC7EBF" w14:paraId="003796EC" w14:textId="77777777" w:rsidTr="001634AB">
      <w:tc>
        <w:tcPr>
          <w:tcW w:w="2764" w:type="dxa"/>
          <w:vAlign w:val="center"/>
        </w:tcPr>
        <w:p w14:paraId="4D6ECA08" w14:textId="77777777" w:rsidR="00DC7EBF" w:rsidRDefault="00DC7EBF" w:rsidP="00CD2DCD">
          <w:pPr>
            <w:pStyle w:val="Header"/>
            <w:jc w:val="center"/>
          </w:pPr>
        </w:p>
      </w:tc>
      <w:tc>
        <w:tcPr>
          <w:tcW w:w="2765" w:type="dxa"/>
          <w:vAlign w:val="center"/>
        </w:tcPr>
        <w:p w14:paraId="2E498407" w14:textId="77777777" w:rsidR="00DC7EBF" w:rsidRDefault="00DC7EBF" w:rsidP="00CD2DCD">
          <w:pPr>
            <w:pStyle w:val="Header"/>
            <w:jc w:val="center"/>
          </w:pPr>
        </w:p>
      </w:tc>
      <w:tc>
        <w:tcPr>
          <w:tcW w:w="2764" w:type="dxa"/>
          <w:vAlign w:val="center"/>
        </w:tcPr>
        <w:p w14:paraId="555AC254" w14:textId="77777777" w:rsidR="00DC7EBF" w:rsidRDefault="00DC7EBF" w:rsidP="00CD2DCD">
          <w:pPr>
            <w:pStyle w:val="Header"/>
            <w:jc w:val="center"/>
          </w:pPr>
        </w:p>
      </w:tc>
      <w:tc>
        <w:tcPr>
          <w:tcW w:w="2765" w:type="dxa"/>
          <w:vAlign w:val="center"/>
        </w:tcPr>
        <w:p w14:paraId="15DDFCCA" w14:textId="77777777" w:rsidR="00DC7EBF" w:rsidRDefault="00DC7EBF" w:rsidP="00CD2DCD">
          <w:pPr>
            <w:pStyle w:val="Header"/>
            <w:jc w:val="center"/>
          </w:pPr>
        </w:p>
      </w:tc>
    </w:tr>
  </w:tbl>
  <w:p w14:paraId="6FA57E6C" w14:textId="2A946E33" w:rsidR="00DC7EBF" w:rsidRPr="00CD2DCD" w:rsidRDefault="00E46D51">
    <w:pPr>
      <w:pStyle w:val="Header"/>
      <w:rPr>
        <w:lang w:val="en-US"/>
      </w:rPr>
    </w:pPr>
    <w:r>
      <w:rPr>
        <w:noProof/>
      </w:rPr>
      <w:pict w14:anchorId="4F3E78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left:0;text-align:left;margin-left:0;margin-top:0;width:454.5pt;height:181.8pt;rotation:315;z-index:-251658237;mso-position-horizontal:center;mso-position-horizontal-relative:margin;mso-position-vertical:center;mso-position-vertical-relative:margin" o:allowincell="f" fillcolor="#666" stroked="f">
          <v:fill opacity=".5"/>
          <v:textpath style="font-family:&quot;Century Gothic&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1F4685"/>
    <w:multiLevelType w:val="hybridMultilevel"/>
    <w:tmpl w:val="7716E5AE"/>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 w15:restartNumberingAfterBreak="0">
    <w:nsid w:val="20DD7E7F"/>
    <w:multiLevelType w:val="hybridMultilevel"/>
    <w:tmpl w:val="262CB5B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 w15:restartNumberingAfterBreak="0">
    <w:nsid w:val="57760110"/>
    <w:multiLevelType w:val="multilevel"/>
    <w:tmpl w:val="0D1A1752"/>
    <w:lvl w:ilvl="0">
      <w:start w:val="1"/>
      <w:numFmt w:val="upperRoman"/>
      <w:lvlText w:val="%1."/>
      <w:lvlJc w:val="left"/>
      <w:pPr>
        <w:ind w:left="3558" w:firstLine="0"/>
      </w:pPr>
      <w:rPr>
        <w:rFonts w:hint="default"/>
        <w:i w:val="0"/>
      </w:rPr>
    </w:lvl>
    <w:lvl w:ilvl="1">
      <w:start w:val="1"/>
      <w:numFmt w:val="upperLetter"/>
      <w:lvlText w:val="%2."/>
      <w:lvlJc w:val="left"/>
      <w:pPr>
        <w:ind w:left="4278" w:firstLine="0"/>
      </w:pPr>
    </w:lvl>
    <w:lvl w:ilvl="2">
      <w:start w:val="1"/>
      <w:numFmt w:val="decimal"/>
      <w:lvlText w:val="%3."/>
      <w:lvlJc w:val="left"/>
      <w:pPr>
        <w:ind w:left="4998" w:firstLine="0"/>
      </w:pPr>
      <w:rPr>
        <w:rFonts w:hint="default"/>
      </w:rPr>
    </w:lvl>
    <w:lvl w:ilvl="3">
      <w:start w:val="1"/>
      <w:numFmt w:val="lowerLetter"/>
      <w:lvlText w:val="%4)"/>
      <w:lvlJc w:val="left"/>
      <w:pPr>
        <w:ind w:left="5718" w:firstLine="0"/>
      </w:pPr>
      <w:rPr>
        <w:rFonts w:hint="default"/>
      </w:rPr>
    </w:lvl>
    <w:lvl w:ilvl="4">
      <w:start w:val="1"/>
      <w:numFmt w:val="decimal"/>
      <w:lvlText w:val="(%5)"/>
      <w:lvlJc w:val="left"/>
      <w:pPr>
        <w:ind w:left="6438" w:firstLine="0"/>
      </w:pPr>
      <w:rPr>
        <w:rFonts w:hint="default"/>
      </w:rPr>
    </w:lvl>
    <w:lvl w:ilvl="5">
      <w:start w:val="1"/>
      <w:numFmt w:val="lowerLetter"/>
      <w:lvlText w:val="(%6)"/>
      <w:lvlJc w:val="left"/>
      <w:pPr>
        <w:ind w:left="7158" w:firstLine="0"/>
      </w:pPr>
      <w:rPr>
        <w:rFonts w:hint="default"/>
      </w:rPr>
    </w:lvl>
    <w:lvl w:ilvl="6">
      <w:start w:val="1"/>
      <w:numFmt w:val="lowerRoman"/>
      <w:lvlText w:val="(%7)"/>
      <w:lvlJc w:val="left"/>
      <w:pPr>
        <w:ind w:left="7878" w:firstLine="0"/>
      </w:pPr>
      <w:rPr>
        <w:rFonts w:hint="default"/>
      </w:rPr>
    </w:lvl>
    <w:lvl w:ilvl="7">
      <w:start w:val="1"/>
      <w:numFmt w:val="lowerLetter"/>
      <w:lvlText w:val="(%8)"/>
      <w:lvlJc w:val="left"/>
      <w:pPr>
        <w:ind w:left="8598" w:firstLine="0"/>
      </w:pPr>
      <w:rPr>
        <w:rFonts w:hint="default"/>
      </w:rPr>
    </w:lvl>
    <w:lvl w:ilvl="8">
      <w:start w:val="1"/>
      <w:numFmt w:val="lowerRoman"/>
      <w:lvlText w:val="(%9)"/>
      <w:lvlJc w:val="left"/>
      <w:pPr>
        <w:ind w:left="9318" w:firstLine="0"/>
      </w:pPr>
      <w:rPr>
        <w:rFonts w:hint="default"/>
      </w:rPr>
    </w:lvl>
  </w:abstractNum>
  <w:num w:numId="1" w16cid:durableId="943534631">
    <w:abstractNumId w:val="2"/>
  </w:num>
  <w:num w:numId="2" w16cid:durableId="1429498526">
    <w:abstractNumId w:val="0"/>
  </w:num>
  <w:num w:numId="3" w16cid:durableId="19490051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attachedTemplate r:id="rId1"/>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A0A"/>
    <w:rsid w:val="00001B2D"/>
    <w:rsid w:val="00003014"/>
    <w:rsid w:val="00003E34"/>
    <w:rsid w:val="0000419E"/>
    <w:rsid w:val="0000487B"/>
    <w:rsid w:val="00004882"/>
    <w:rsid w:val="000127AA"/>
    <w:rsid w:val="00013E5F"/>
    <w:rsid w:val="00014BDA"/>
    <w:rsid w:val="00033F42"/>
    <w:rsid w:val="00037625"/>
    <w:rsid w:val="000511F9"/>
    <w:rsid w:val="000551EE"/>
    <w:rsid w:val="00060510"/>
    <w:rsid w:val="000609DD"/>
    <w:rsid w:val="00061804"/>
    <w:rsid w:val="000702FE"/>
    <w:rsid w:val="00075171"/>
    <w:rsid w:val="000770C3"/>
    <w:rsid w:val="00086AA8"/>
    <w:rsid w:val="000B01D5"/>
    <w:rsid w:val="000B07BF"/>
    <w:rsid w:val="000B6203"/>
    <w:rsid w:val="000C12F1"/>
    <w:rsid w:val="000C6A05"/>
    <w:rsid w:val="000C7D42"/>
    <w:rsid w:val="000D1B03"/>
    <w:rsid w:val="000D2249"/>
    <w:rsid w:val="000D24B1"/>
    <w:rsid w:val="000D5418"/>
    <w:rsid w:val="000E6CA2"/>
    <w:rsid w:val="000E7D60"/>
    <w:rsid w:val="0010317A"/>
    <w:rsid w:val="001212D6"/>
    <w:rsid w:val="00121AA2"/>
    <w:rsid w:val="00124249"/>
    <w:rsid w:val="00133F02"/>
    <w:rsid w:val="0013512F"/>
    <w:rsid w:val="001471DD"/>
    <w:rsid w:val="0015260C"/>
    <w:rsid w:val="001552D7"/>
    <w:rsid w:val="00161B47"/>
    <w:rsid w:val="001634AB"/>
    <w:rsid w:val="00175AA9"/>
    <w:rsid w:val="00175BEB"/>
    <w:rsid w:val="00196864"/>
    <w:rsid w:val="001A03A2"/>
    <w:rsid w:val="001C35A0"/>
    <w:rsid w:val="001C5729"/>
    <w:rsid w:val="001C6010"/>
    <w:rsid w:val="001E0ACB"/>
    <w:rsid w:val="001E4DED"/>
    <w:rsid w:val="001F3F9C"/>
    <w:rsid w:val="00205EE0"/>
    <w:rsid w:val="002108E0"/>
    <w:rsid w:val="00211304"/>
    <w:rsid w:val="0022560F"/>
    <w:rsid w:val="00227399"/>
    <w:rsid w:val="00234468"/>
    <w:rsid w:val="0025080F"/>
    <w:rsid w:val="00253A50"/>
    <w:rsid w:val="00254697"/>
    <w:rsid w:val="00263FCA"/>
    <w:rsid w:val="002649A7"/>
    <w:rsid w:val="00264A8C"/>
    <w:rsid w:val="00275B2B"/>
    <w:rsid w:val="002769D9"/>
    <w:rsid w:val="002A6C61"/>
    <w:rsid w:val="002B69B8"/>
    <w:rsid w:val="002C3CCA"/>
    <w:rsid w:val="002C75C7"/>
    <w:rsid w:val="002C7B1D"/>
    <w:rsid w:val="002D328B"/>
    <w:rsid w:val="002E0BD0"/>
    <w:rsid w:val="002E143F"/>
    <w:rsid w:val="0030165D"/>
    <w:rsid w:val="003023A3"/>
    <w:rsid w:val="00303F9B"/>
    <w:rsid w:val="00307970"/>
    <w:rsid w:val="00307FA0"/>
    <w:rsid w:val="003101A7"/>
    <w:rsid w:val="00315D4B"/>
    <w:rsid w:val="00322000"/>
    <w:rsid w:val="0032203B"/>
    <w:rsid w:val="00322BE9"/>
    <w:rsid w:val="00322F6D"/>
    <w:rsid w:val="00323F28"/>
    <w:rsid w:val="00324145"/>
    <w:rsid w:val="003320E2"/>
    <w:rsid w:val="00341DB7"/>
    <w:rsid w:val="00344A0C"/>
    <w:rsid w:val="0035156C"/>
    <w:rsid w:val="00362D84"/>
    <w:rsid w:val="00365419"/>
    <w:rsid w:val="00376D1A"/>
    <w:rsid w:val="00380A0A"/>
    <w:rsid w:val="00387F88"/>
    <w:rsid w:val="00391970"/>
    <w:rsid w:val="00393313"/>
    <w:rsid w:val="003B0636"/>
    <w:rsid w:val="003C5D33"/>
    <w:rsid w:val="003C5E13"/>
    <w:rsid w:val="003C71BB"/>
    <w:rsid w:val="003D5D5D"/>
    <w:rsid w:val="003E512B"/>
    <w:rsid w:val="003E6C12"/>
    <w:rsid w:val="003F573F"/>
    <w:rsid w:val="00400251"/>
    <w:rsid w:val="00401B11"/>
    <w:rsid w:val="004032EF"/>
    <w:rsid w:val="0040784B"/>
    <w:rsid w:val="00410F77"/>
    <w:rsid w:val="0041737D"/>
    <w:rsid w:val="00437F24"/>
    <w:rsid w:val="004450F3"/>
    <w:rsid w:val="00445AF8"/>
    <w:rsid w:val="0045439F"/>
    <w:rsid w:val="0045656B"/>
    <w:rsid w:val="004670DA"/>
    <w:rsid w:val="00474F4B"/>
    <w:rsid w:val="00483B30"/>
    <w:rsid w:val="00491552"/>
    <w:rsid w:val="004A5210"/>
    <w:rsid w:val="004A6484"/>
    <w:rsid w:val="004B0910"/>
    <w:rsid w:val="004D16C9"/>
    <w:rsid w:val="004D78B3"/>
    <w:rsid w:val="004F05DD"/>
    <w:rsid w:val="004F37B9"/>
    <w:rsid w:val="004F5502"/>
    <w:rsid w:val="004F6392"/>
    <w:rsid w:val="004F7E35"/>
    <w:rsid w:val="00502DB8"/>
    <w:rsid w:val="0050589E"/>
    <w:rsid w:val="005163C5"/>
    <w:rsid w:val="00517AC2"/>
    <w:rsid w:val="00546A40"/>
    <w:rsid w:val="00557317"/>
    <w:rsid w:val="005768EC"/>
    <w:rsid w:val="005779DD"/>
    <w:rsid w:val="005814EF"/>
    <w:rsid w:val="00590D14"/>
    <w:rsid w:val="00591C6E"/>
    <w:rsid w:val="00592CC1"/>
    <w:rsid w:val="005940DB"/>
    <w:rsid w:val="005977D0"/>
    <w:rsid w:val="005A58FF"/>
    <w:rsid w:val="005B121C"/>
    <w:rsid w:val="005B5838"/>
    <w:rsid w:val="005B6B16"/>
    <w:rsid w:val="005C127A"/>
    <w:rsid w:val="005C1E8D"/>
    <w:rsid w:val="005D6060"/>
    <w:rsid w:val="005E17EE"/>
    <w:rsid w:val="005E1D6C"/>
    <w:rsid w:val="005E40DE"/>
    <w:rsid w:val="005E56F8"/>
    <w:rsid w:val="005F05FE"/>
    <w:rsid w:val="005F1826"/>
    <w:rsid w:val="005F3AD8"/>
    <w:rsid w:val="005F3DA1"/>
    <w:rsid w:val="005F6181"/>
    <w:rsid w:val="005F7456"/>
    <w:rsid w:val="00606B2A"/>
    <w:rsid w:val="006132C1"/>
    <w:rsid w:val="00621288"/>
    <w:rsid w:val="00623DE0"/>
    <w:rsid w:val="00627CAB"/>
    <w:rsid w:val="00633076"/>
    <w:rsid w:val="00635604"/>
    <w:rsid w:val="00640869"/>
    <w:rsid w:val="00645F7B"/>
    <w:rsid w:val="00650381"/>
    <w:rsid w:val="0065456E"/>
    <w:rsid w:val="00676A7A"/>
    <w:rsid w:val="006945A0"/>
    <w:rsid w:val="00697834"/>
    <w:rsid w:val="006A14AF"/>
    <w:rsid w:val="006A41E1"/>
    <w:rsid w:val="006A5ED3"/>
    <w:rsid w:val="006B2E3A"/>
    <w:rsid w:val="006C496B"/>
    <w:rsid w:val="006C78F9"/>
    <w:rsid w:val="006E3DC1"/>
    <w:rsid w:val="006E56B6"/>
    <w:rsid w:val="006F2321"/>
    <w:rsid w:val="006F76F7"/>
    <w:rsid w:val="007032C8"/>
    <w:rsid w:val="00704101"/>
    <w:rsid w:val="0071614D"/>
    <w:rsid w:val="00717FED"/>
    <w:rsid w:val="00720E1A"/>
    <w:rsid w:val="00733A5A"/>
    <w:rsid w:val="007408F5"/>
    <w:rsid w:val="00744198"/>
    <w:rsid w:val="00750F34"/>
    <w:rsid w:val="00756C63"/>
    <w:rsid w:val="00757EC9"/>
    <w:rsid w:val="007669D2"/>
    <w:rsid w:val="007727BF"/>
    <w:rsid w:val="00772ED8"/>
    <w:rsid w:val="00793A81"/>
    <w:rsid w:val="00797648"/>
    <w:rsid w:val="007A06E8"/>
    <w:rsid w:val="007B7860"/>
    <w:rsid w:val="007D2C8B"/>
    <w:rsid w:val="007E19F7"/>
    <w:rsid w:val="007E382D"/>
    <w:rsid w:val="007E4244"/>
    <w:rsid w:val="007E7663"/>
    <w:rsid w:val="007F3D4B"/>
    <w:rsid w:val="007F6996"/>
    <w:rsid w:val="00806211"/>
    <w:rsid w:val="008342C0"/>
    <w:rsid w:val="0083557C"/>
    <w:rsid w:val="008510BC"/>
    <w:rsid w:val="00853FEE"/>
    <w:rsid w:val="00856DCE"/>
    <w:rsid w:val="00870368"/>
    <w:rsid w:val="008755A8"/>
    <w:rsid w:val="008767A2"/>
    <w:rsid w:val="00883EE5"/>
    <w:rsid w:val="0089323C"/>
    <w:rsid w:val="00894E60"/>
    <w:rsid w:val="00896D48"/>
    <w:rsid w:val="008C37AC"/>
    <w:rsid w:val="008D4407"/>
    <w:rsid w:val="008E090C"/>
    <w:rsid w:val="008E5EC9"/>
    <w:rsid w:val="008F04A2"/>
    <w:rsid w:val="008F1931"/>
    <w:rsid w:val="008F3802"/>
    <w:rsid w:val="008F566C"/>
    <w:rsid w:val="008F5DF0"/>
    <w:rsid w:val="00905CD3"/>
    <w:rsid w:val="009257FA"/>
    <w:rsid w:val="00935A54"/>
    <w:rsid w:val="0094101E"/>
    <w:rsid w:val="00965589"/>
    <w:rsid w:val="009667C1"/>
    <w:rsid w:val="0097249E"/>
    <w:rsid w:val="00980676"/>
    <w:rsid w:val="00987DBF"/>
    <w:rsid w:val="00990E95"/>
    <w:rsid w:val="00996C56"/>
    <w:rsid w:val="009A1DD0"/>
    <w:rsid w:val="009C210E"/>
    <w:rsid w:val="009D0018"/>
    <w:rsid w:val="009D22F1"/>
    <w:rsid w:val="009D2F66"/>
    <w:rsid w:val="009E4E9B"/>
    <w:rsid w:val="009F2CCE"/>
    <w:rsid w:val="009F6610"/>
    <w:rsid w:val="00A052ED"/>
    <w:rsid w:val="00A074E3"/>
    <w:rsid w:val="00A10B06"/>
    <w:rsid w:val="00A149BE"/>
    <w:rsid w:val="00A37B41"/>
    <w:rsid w:val="00A37E0D"/>
    <w:rsid w:val="00A51D2A"/>
    <w:rsid w:val="00A63400"/>
    <w:rsid w:val="00A72764"/>
    <w:rsid w:val="00A80FF9"/>
    <w:rsid w:val="00A854EF"/>
    <w:rsid w:val="00A8689D"/>
    <w:rsid w:val="00A91D16"/>
    <w:rsid w:val="00A97284"/>
    <w:rsid w:val="00AA0195"/>
    <w:rsid w:val="00AA29FB"/>
    <w:rsid w:val="00AB06DF"/>
    <w:rsid w:val="00AB2EA8"/>
    <w:rsid w:val="00AB3ADF"/>
    <w:rsid w:val="00AB7F49"/>
    <w:rsid w:val="00AC3218"/>
    <w:rsid w:val="00AC7E7E"/>
    <w:rsid w:val="00AD0E55"/>
    <w:rsid w:val="00AD45D8"/>
    <w:rsid w:val="00AE5F16"/>
    <w:rsid w:val="00B02D7C"/>
    <w:rsid w:val="00B11165"/>
    <w:rsid w:val="00B11482"/>
    <w:rsid w:val="00B12DE5"/>
    <w:rsid w:val="00B20708"/>
    <w:rsid w:val="00B2634F"/>
    <w:rsid w:val="00B36B40"/>
    <w:rsid w:val="00B44795"/>
    <w:rsid w:val="00B6391A"/>
    <w:rsid w:val="00B6792B"/>
    <w:rsid w:val="00B71694"/>
    <w:rsid w:val="00B838EA"/>
    <w:rsid w:val="00B86C5F"/>
    <w:rsid w:val="00B86EF6"/>
    <w:rsid w:val="00B92E75"/>
    <w:rsid w:val="00BB0C9D"/>
    <w:rsid w:val="00BC0C16"/>
    <w:rsid w:val="00BD0E11"/>
    <w:rsid w:val="00BD0EAA"/>
    <w:rsid w:val="00BE217A"/>
    <w:rsid w:val="00BE32E7"/>
    <w:rsid w:val="00BF1CA1"/>
    <w:rsid w:val="00BF1F4C"/>
    <w:rsid w:val="00BF6F7B"/>
    <w:rsid w:val="00C0035F"/>
    <w:rsid w:val="00C1109A"/>
    <w:rsid w:val="00C16A7E"/>
    <w:rsid w:val="00C24612"/>
    <w:rsid w:val="00C27202"/>
    <w:rsid w:val="00C32027"/>
    <w:rsid w:val="00C34CFC"/>
    <w:rsid w:val="00C501FD"/>
    <w:rsid w:val="00C73375"/>
    <w:rsid w:val="00C96468"/>
    <w:rsid w:val="00CA7468"/>
    <w:rsid w:val="00CB0419"/>
    <w:rsid w:val="00CB1FDA"/>
    <w:rsid w:val="00CC38A3"/>
    <w:rsid w:val="00CC4D22"/>
    <w:rsid w:val="00CC5742"/>
    <w:rsid w:val="00CD2DCD"/>
    <w:rsid w:val="00CD6251"/>
    <w:rsid w:val="00CE22A5"/>
    <w:rsid w:val="00CE46EA"/>
    <w:rsid w:val="00CF18C2"/>
    <w:rsid w:val="00CF3A15"/>
    <w:rsid w:val="00CF3AD4"/>
    <w:rsid w:val="00D03609"/>
    <w:rsid w:val="00D03AA0"/>
    <w:rsid w:val="00D057CE"/>
    <w:rsid w:val="00D11D41"/>
    <w:rsid w:val="00D11EC3"/>
    <w:rsid w:val="00D4146D"/>
    <w:rsid w:val="00D6214B"/>
    <w:rsid w:val="00D85525"/>
    <w:rsid w:val="00D85F90"/>
    <w:rsid w:val="00D92FFD"/>
    <w:rsid w:val="00D96D2D"/>
    <w:rsid w:val="00DA4A87"/>
    <w:rsid w:val="00DA69EE"/>
    <w:rsid w:val="00DB2C0F"/>
    <w:rsid w:val="00DB335C"/>
    <w:rsid w:val="00DC30EF"/>
    <w:rsid w:val="00DC4A20"/>
    <w:rsid w:val="00DC7EBF"/>
    <w:rsid w:val="00DD002D"/>
    <w:rsid w:val="00DD0657"/>
    <w:rsid w:val="00DD4774"/>
    <w:rsid w:val="00DE1372"/>
    <w:rsid w:val="00DE771A"/>
    <w:rsid w:val="00DF7D4E"/>
    <w:rsid w:val="00E01404"/>
    <w:rsid w:val="00E01A26"/>
    <w:rsid w:val="00E13D30"/>
    <w:rsid w:val="00E15BAD"/>
    <w:rsid w:val="00E17D80"/>
    <w:rsid w:val="00E26349"/>
    <w:rsid w:val="00E311C2"/>
    <w:rsid w:val="00E408CB"/>
    <w:rsid w:val="00E40A09"/>
    <w:rsid w:val="00E46D51"/>
    <w:rsid w:val="00E51854"/>
    <w:rsid w:val="00E54770"/>
    <w:rsid w:val="00E558ED"/>
    <w:rsid w:val="00E66774"/>
    <w:rsid w:val="00E73C83"/>
    <w:rsid w:val="00E73D20"/>
    <w:rsid w:val="00E741F7"/>
    <w:rsid w:val="00E82B29"/>
    <w:rsid w:val="00E90D93"/>
    <w:rsid w:val="00EA07AB"/>
    <w:rsid w:val="00EA0EDD"/>
    <w:rsid w:val="00EA2C32"/>
    <w:rsid w:val="00EA31FF"/>
    <w:rsid w:val="00EB6426"/>
    <w:rsid w:val="00EC16D6"/>
    <w:rsid w:val="00EC2461"/>
    <w:rsid w:val="00EC267B"/>
    <w:rsid w:val="00EE234E"/>
    <w:rsid w:val="00EE352F"/>
    <w:rsid w:val="00EE4985"/>
    <w:rsid w:val="00EE661F"/>
    <w:rsid w:val="00F036D9"/>
    <w:rsid w:val="00F03CD1"/>
    <w:rsid w:val="00F05214"/>
    <w:rsid w:val="00F14E66"/>
    <w:rsid w:val="00F2668B"/>
    <w:rsid w:val="00F301CF"/>
    <w:rsid w:val="00F31B70"/>
    <w:rsid w:val="00F450BD"/>
    <w:rsid w:val="00F51BC4"/>
    <w:rsid w:val="00F60534"/>
    <w:rsid w:val="00F70D1F"/>
    <w:rsid w:val="00F73A7A"/>
    <w:rsid w:val="00F77C09"/>
    <w:rsid w:val="00F82343"/>
    <w:rsid w:val="00F851C7"/>
    <w:rsid w:val="00FA2643"/>
    <w:rsid w:val="00FA5222"/>
    <w:rsid w:val="00FB0102"/>
    <w:rsid w:val="00FB7684"/>
    <w:rsid w:val="00FC146E"/>
    <w:rsid w:val="00FC6931"/>
    <w:rsid w:val="00FD01E8"/>
    <w:rsid w:val="00FD0F63"/>
    <w:rsid w:val="00FD3AA7"/>
    <w:rsid w:val="00FD68FD"/>
    <w:rsid w:val="00FE501D"/>
    <w:rsid w:val="00FE76CF"/>
    <w:rsid w:val="07BF0431"/>
    <w:rsid w:val="1A39E492"/>
    <w:rsid w:val="2239B599"/>
    <w:rsid w:val="30D276DE"/>
    <w:rsid w:val="38FEB8B3"/>
    <w:rsid w:val="44C94AF0"/>
    <w:rsid w:val="4E062C9A"/>
    <w:rsid w:val="666499C5"/>
    <w:rsid w:val="6676DE1A"/>
    <w:rsid w:val="6E2EB7A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335617"/>
  <w15:chartTrackingRefBased/>
  <w15:docId w15:val="{79935C08-91F2-4803-911A-C55274BFB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267B"/>
    <w:pPr>
      <w:spacing w:before="120" w:after="160" w:line="259" w:lineRule="auto"/>
      <w:jc w:val="both"/>
    </w:pPr>
    <w:rPr>
      <w:sz w:val="20"/>
      <w:szCs w:val="21"/>
      <w:lang w:val="en-GB"/>
    </w:rPr>
  </w:style>
  <w:style w:type="paragraph" w:styleId="Heading1">
    <w:name w:val="heading 1"/>
    <w:basedOn w:val="Heading2"/>
    <w:next w:val="Normal"/>
    <w:link w:val="Heading1Char"/>
    <w:uiPriority w:val="9"/>
    <w:qFormat/>
    <w:rsid w:val="008F3802"/>
    <w:pPr>
      <w:spacing w:before="240" w:after="120"/>
      <w:outlineLvl w:val="0"/>
    </w:pPr>
    <w:rPr>
      <w:sz w:val="24"/>
    </w:rPr>
  </w:style>
  <w:style w:type="paragraph" w:styleId="Heading2">
    <w:name w:val="heading 2"/>
    <w:basedOn w:val="Normal"/>
    <w:next w:val="Normal"/>
    <w:link w:val="Heading2Char"/>
    <w:autoRedefine/>
    <w:qFormat/>
    <w:rsid w:val="000E7D60"/>
    <w:pPr>
      <w:outlineLvl w:val="1"/>
    </w:pPr>
    <w:rPr>
      <w:b/>
      <w:bCs/>
      <w:color w:val="428DCC" w:themeColor="accent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E7D60"/>
    <w:rPr>
      <w:rFonts w:ascii="Crimson Roman" w:hAnsi="Crimson Roman"/>
      <w:b/>
      <w:bCs/>
      <w:color w:val="428DCC" w:themeColor="accent1"/>
      <w:sz w:val="20"/>
      <w:szCs w:val="22"/>
      <w:lang w:val="en-US"/>
    </w:rPr>
  </w:style>
  <w:style w:type="paragraph" w:styleId="Header">
    <w:name w:val="header"/>
    <w:basedOn w:val="Normal"/>
    <w:link w:val="HeaderChar"/>
    <w:uiPriority w:val="99"/>
    <w:unhideWhenUsed/>
    <w:rsid w:val="000D2249"/>
    <w:pPr>
      <w:tabs>
        <w:tab w:val="center" w:pos="4536"/>
        <w:tab w:val="right" w:pos="9072"/>
      </w:tabs>
    </w:pPr>
  </w:style>
  <w:style w:type="character" w:customStyle="1" w:styleId="HeaderChar">
    <w:name w:val="Header Char"/>
    <w:basedOn w:val="DefaultParagraphFont"/>
    <w:link w:val="Header"/>
    <w:uiPriority w:val="99"/>
    <w:rsid w:val="000D2249"/>
  </w:style>
  <w:style w:type="paragraph" w:styleId="Footer">
    <w:name w:val="footer"/>
    <w:basedOn w:val="Normal"/>
    <w:link w:val="FooterChar"/>
    <w:uiPriority w:val="99"/>
    <w:unhideWhenUsed/>
    <w:rsid w:val="000D2249"/>
    <w:pPr>
      <w:tabs>
        <w:tab w:val="center" w:pos="4536"/>
        <w:tab w:val="right" w:pos="9072"/>
      </w:tabs>
    </w:pPr>
  </w:style>
  <w:style w:type="character" w:customStyle="1" w:styleId="FooterChar">
    <w:name w:val="Footer Char"/>
    <w:basedOn w:val="DefaultParagraphFont"/>
    <w:link w:val="Footer"/>
    <w:uiPriority w:val="99"/>
    <w:rsid w:val="000D2249"/>
  </w:style>
  <w:style w:type="character" w:customStyle="1" w:styleId="Hyperlink1">
    <w:name w:val="Hyperlink.1"/>
    <w:basedOn w:val="Hyperlink"/>
    <w:rsid w:val="000D2249"/>
    <w:rPr>
      <w:rFonts w:ascii="Crimson Text" w:eastAsia="Crimson Text" w:hAnsi="Crimson Text" w:cs="Crimson Text"/>
      <w:b/>
      <w:bCs/>
      <w:i w:val="0"/>
      <w:iCs w:val="0"/>
      <w:color w:val="41829C"/>
      <w:sz w:val="18"/>
      <w:szCs w:val="18"/>
      <w:u w:val="single"/>
    </w:rPr>
  </w:style>
  <w:style w:type="character" w:styleId="Hyperlink">
    <w:name w:val="Hyperlink"/>
    <w:basedOn w:val="DefaultParagraphFont"/>
    <w:uiPriority w:val="99"/>
    <w:unhideWhenUsed/>
    <w:rsid w:val="000D2249"/>
    <w:rPr>
      <w:color w:val="6BB394" w:themeColor="hyperlink"/>
      <w:u w:val="single"/>
    </w:rPr>
  </w:style>
  <w:style w:type="character" w:customStyle="1" w:styleId="Heading1Char">
    <w:name w:val="Heading 1 Char"/>
    <w:basedOn w:val="DefaultParagraphFont"/>
    <w:link w:val="Heading1"/>
    <w:uiPriority w:val="9"/>
    <w:rsid w:val="008F3802"/>
    <w:rPr>
      <w:b/>
      <w:bCs/>
      <w:color w:val="428DCC" w:themeColor="accent1"/>
      <w:szCs w:val="22"/>
      <w:lang w:val="en-GB"/>
    </w:rPr>
  </w:style>
  <w:style w:type="paragraph" w:customStyle="1" w:styleId="Date1">
    <w:name w:val="Date 1"/>
    <w:basedOn w:val="Normal"/>
    <w:link w:val="Date1Car"/>
    <w:qFormat/>
    <w:rsid w:val="00591C6E"/>
    <w:pPr>
      <w:ind w:left="6372" w:firstLine="432"/>
    </w:pPr>
    <w:rPr>
      <w:b/>
      <w:color w:val="428DCC" w:themeColor="accent1"/>
      <w:lang w:val="fr-BE"/>
    </w:rPr>
  </w:style>
  <w:style w:type="character" w:customStyle="1" w:styleId="Date1Car">
    <w:name w:val="Date 1 Car"/>
    <w:basedOn w:val="Heading2Char"/>
    <w:link w:val="Date1"/>
    <w:rsid w:val="00591C6E"/>
    <w:rPr>
      <w:rFonts w:ascii="Crimson Roman" w:hAnsi="Crimson Roman"/>
      <w:b/>
      <w:bCs w:val="0"/>
      <w:color w:val="428DCC" w:themeColor="accent1"/>
      <w:sz w:val="20"/>
      <w:szCs w:val="21"/>
      <w:lang w:val="fr-BE"/>
    </w:rPr>
  </w:style>
  <w:style w:type="paragraph" w:customStyle="1" w:styleId="About">
    <w:name w:val="About"/>
    <w:basedOn w:val="Normal"/>
    <w:link w:val="AboutCar"/>
    <w:qFormat/>
    <w:rsid w:val="000D5418"/>
    <w:rPr>
      <w:rFonts w:ascii="Averia Sans Libre" w:hAnsi="Averia Sans Libre"/>
      <w:color w:val="71C09C" w:themeColor="accent3"/>
    </w:rPr>
  </w:style>
  <w:style w:type="character" w:customStyle="1" w:styleId="AboutCar">
    <w:name w:val="About Car"/>
    <w:basedOn w:val="DefaultParagraphFont"/>
    <w:link w:val="About"/>
    <w:rsid w:val="000D5418"/>
    <w:rPr>
      <w:rFonts w:ascii="Averia Sans Libre" w:hAnsi="Averia Sans Libre"/>
      <w:color w:val="71C09C" w:themeColor="accent3"/>
      <w:sz w:val="20"/>
      <w:szCs w:val="21"/>
      <w:lang w:val="en-GB"/>
    </w:rPr>
  </w:style>
  <w:style w:type="paragraph" w:customStyle="1" w:styleId="Introduction">
    <w:name w:val="Introduction"/>
    <w:basedOn w:val="Heading1"/>
    <w:link w:val="IntroductionCar"/>
    <w:qFormat/>
    <w:rsid w:val="000D5418"/>
    <w:rPr>
      <w:lang w:val="fr-BE"/>
    </w:rPr>
  </w:style>
  <w:style w:type="character" w:customStyle="1" w:styleId="IntroductionCar">
    <w:name w:val="Introduction Car"/>
    <w:basedOn w:val="Heading1Char"/>
    <w:link w:val="Introduction"/>
    <w:rsid w:val="000D5418"/>
    <w:rPr>
      <w:rFonts w:ascii="Crimson Roman" w:hAnsi="Crimson Roman"/>
      <w:b/>
      <w:bCs/>
      <w:color w:val="428DCC" w:themeColor="accent1"/>
      <w:sz w:val="20"/>
      <w:szCs w:val="22"/>
      <w:lang w:val="fr-BE"/>
    </w:rPr>
  </w:style>
  <w:style w:type="paragraph" w:styleId="Title">
    <w:name w:val="Title"/>
    <w:basedOn w:val="Normal"/>
    <w:next w:val="Normal"/>
    <w:link w:val="TitleChar"/>
    <w:uiPriority w:val="10"/>
    <w:qFormat/>
    <w:rsid w:val="00DB2C0F"/>
    <w:pPr>
      <w:contextualSpacing/>
    </w:pPr>
    <w:rPr>
      <w:rFonts w:asciiTheme="majorHAnsi" w:eastAsiaTheme="majorEastAsia" w:hAnsiTheme="majorHAnsi" w:cstheme="majorBidi"/>
      <w:b/>
      <w:color w:val="428DCC" w:themeColor="accent1"/>
      <w:spacing w:val="-10"/>
      <w:kern w:val="28"/>
      <w:sz w:val="36"/>
      <w:szCs w:val="56"/>
    </w:rPr>
  </w:style>
  <w:style w:type="character" w:customStyle="1" w:styleId="TitleChar">
    <w:name w:val="Title Char"/>
    <w:basedOn w:val="DefaultParagraphFont"/>
    <w:link w:val="Title"/>
    <w:uiPriority w:val="10"/>
    <w:rsid w:val="00DB2C0F"/>
    <w:rPr>
      <w:rFonts w:asciiTheme="majorHAnsi" w:eastAsiaTheme="majorEastAsia" w:hAnsiTheme="majorHAnsi" w:cstheme="majorBidi"/>
      <w:b/>
      <w:color w:val="428DCC" w:themeColor="accent1"/>
      <w:spacing w:val="-10"/>
      <w:kern w:val="28"/>
      <w:sz w:val="36"/>
      <w:szCs w:val="56"/>
      <w:lang w:val="en-GB"/>
    </w:rPr>
  </w:style>
  <w:style w:type="paragraph" w:styleId="FootnoteText">
    <w:name w:val="footnote text"/>
    <w:basedOn w:val="Normal"/>
    <w:link w:val="FootnoteTextChar"/>
    <w:uiPriority w:val="99"/>
    <w:semiHidden/>
    <w:unhideWhenUsed/>
    <w:rsid w:val="00322BE9"/>
    <w:rPr>
      <w:szCs w:val="20"/>
    </w:rPr>
  </w:style>
  <w:style w:type="character" w:customStyle="1" w:styleId="FootnoteTextChar">
    <w:name w:val="Footnote Text Char"/>
    <w:basedOn w:val="DefaultParagraphFont"/>
    <w:link w:val="FootnoteText"/>
    <w:uiPriority w:val="99"/>
    <w:semiHidden/>
    <w:rsid w:val="00322BE9"/>
    <w:rPr>
      <w:rFonts w:ascii="Crimson Roman" w:hAnsi="Crimson Roman"/>
      <w:color w:val="585858" w:themeColor="text1"/>
      <w:sz w:val="20"/>
      <w:szCs w:val="20"/>
      <w:lang w:val="en-GB"/>
    </w:rPr>
  </w:style>
  <w:style w:type="character" w:styleId="FootnoteReference">
    <w:name w:val="footnote reference"/>
    <w:basedOn w:val="DefaultParagraphFont"/>
    <w:uiPriority w:val="99"/>
    <w:semiHidden/>
    <w:unhideWhenUsed/>
    <w:rsid w:val="00322BE9"/>
    <w:rPr>
      <w:vertAlign w:val="superscript"/>
    </w:rPr>
  </w:style>
  <w:style w:type="paragraph" w:styleId="ListParagraph">
    <w:name w:val="List Paragraph"/>
    <w:basedOn w:val="Normal"/>
    <w:uiPriority w:val="34"/>
    <w:qFormat/>
    <w:rsid w:val="00393313"/>
    <w:pPr>
      <w:ind w:left="720"/>
      <w:contextualSpacing/>
    </w:pPr>
    <w:rPr>
      <w:kern w:val="2"/>
      <w:szCs w:val="22"/>
      <w14:ligatures w14:val="standardContextual"/>
    </w:rPr>
  </w:style>
  <w:style w:type="paragraph" w:customStyle="1" w:styleId="pf0">
    <w:name w:val="pf0"/>
    <w:basedOn w:val="Normal"/>
    <w:rsid w:val="00A149BE"/>
    <w:pPr>
      <w:spacing w:before="100" w:beforeAutospacing="1" w:after="100" w:afterAutospacing="1"/>
      <w:jc w:val="left"/>
    </w:pPr>
    <w:rPr>
      <w:rFonts w:ascii="Times New Roman" w:eastAsia="Times New Roman" w:hAnsi="Times New Roman" w:cs="Times New Roman"/>
      <w:sz w:val="24"/>
      <w:szCs w:val="24"/>
      <w:lang w:eastAsia="en-GB"/>
    </w:rPr>
  </w:style>
  <w:style w:type="table" w:styleId="GridTable1Light-Accent1">
    <w:name w:val="Grid Table 1 Light Accent 1"/>
    <w:basedOn w:val="TableNormal"/>
    <w:uiPriority w:val="46"/>
    <w:rsid w:val="0089323C"/>
    <w:rPr>
      <w:sz w:val="22"/>
      <w:szCs w:val="22"/>
      <w:lang w:val="en-GB"/>
    </w:rPr>
    <w:tblPr>
      <w:tblStyleRowBandSize w:val="1"/>
      <w:tblStyleColBandSize w:val="1"/>
      <w:tblBorders>
        <w:top w:val="single" w:sz="4" w:space="0" w:color="B3D1EA" w:themeColor="accent1" w:themeTint="66"/>
        <w:left w:val="single" w:sz="4" w:space="0" w:color="B3D1EA" w:themeColor="accent1" w:themeTint="66"/>
        <w:bottom w:val="single" w:sz="4" w:space="0" w:color="B3D1EA" w:themeColor="accent1" w:themeTint="66"/>
        <w:right w:val="single" w:sz="4" w:space="0" w:color="B3D1EA" w:themeColor="accent1" w:themeTint="66"/>
        <w:insideH w:val="single" w:sz="4" w:space="0" w:color="B3D1EA" w:themeColor="accent1" w:themeTint="66"/>
        <w:insideV w:val="single" w:sz="4" w:space="0" w:color="B3D1EA" w:themeColor="accent1" w:themeTint="66"/>
      </w:tblBorders>
    </w:tblPr>
    <w:tblStylePr w:type="firstRow">
      <w:rPr>
        <w:b/>
        <w:bCs/>
      </w:rPr>
      <w:tblPr/>
      <w:tcPr>
        <w:tcBorders>
          <w:bottom w:val="single" w:sz="12" w:space="0" w:color="8DBAE0" w:themeColor="accent1" w:themeTint="99"/>
        </w:tcBorders>
      </w:tcPr>
    </w:tblStylePr>
    <w:tblStylePr w:type="lastRow">
      <w:rPr>
        <w:b/>
        <w:bCs/>
      </w:rPr>
      <w:tblPr/>
      <w:tcPr>
        <w:tcBorders>
          <w:top w:val="double" w:sz="2" w:space="0" w:color="8DBAE0" w:themeColor="accen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4A5210"/>
    <w:pPr>
      <w:spacing w:after="200"/>
    </w:pPr>
    <w:rPr>
      <w:i/>
      <w:iCs/>
      <w:color w:val="585858" w:themeColor="text2"/>
      <w:sz w:val="18"/>
      <w:szCs w:val="18"/>
    </w:rPr>
  </w:style>
  <w:style w:type="table" w:styleId="TableGrid">
    <w:name w:val="Table Grid"/>
    <w:basedOn w:val="TableNormal"/>
    <w:uiPriority w:val="39"/>
    <w:rsid w:val="00635604"/>
    <w:rPr>
      <w:kern w:val="2"/>
      <w:sz w:val="22"/>
      <w:szCs w:val="22"/>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35604"/>
    <w:pPr>
      <w:spacing w:before="100" w:beforeAutospacing="1" w:after="100" w:afterAutospacing="1"/>
      <w:jc w:val="left"/>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635604"/>
  </w:style>
  <w:style w:type="character" w:customStyle="1" w:styleId="eop">
    <w:name w:val="eop"/>
    <w:basedOn w:val="DefaultParagraphFont"/>
    <w:rsid w:val="00635604"/>
  </w:style>
  <w:style w:type="paragraph" w:styleId="IntenseQuote">
    <w:name w:val="Intense Quote"/>
    <w:basedOn w:val="Normal"/>
    <w:next w:val="Normal"/>
    <w:link w:val="IntenseQuoteChar"/>
    <w:uiPriority w:val="30"/>
    <w:qFormat/>
    <w:rsid w:val="00896D48"/>
    <w:pPr>
      <w:pBdr>
        <w:top w:val="single" w:sz="4" w:space="10" w:color="428DCC" w:themeColor="accent1"/>
        <w:bottom w:val="single" w:sz="4" w:space="10" w:color="428DCC" w:themeColor="accent1"/>
      </w:pBdr>
      <w:spacing w:before="360" w:after="360"/>
      <w:ind w:left="864" w:right="864"/>
      <w:jc w:val="center"/>
    </w:pPr>
    <w:rPr>
      <w:i/>
      <w:iCs/>
      <w:color w:val="428DCC" w:themeColor="accent1"/>
    </w:rPr>
  </w:style>
  <w:style w:type="character" w:customStyle="1" w:styleId="IntenseQuoteChar">
    <w:name w:val="Intense Quote Char"/>
    <w:basedOn w:val="DefaultParagraphFont"/>
    <w:link w:val="IntenseQuote"/>
    <w:uiPriority w:val="30"/>
    <w:rsid w:val="00896D48"/>
    <w:rPr>
      <w:rFonts w:ascii="Crimson Roman" w:hAnsi="Crimson Roman"/>
      <w:i/>
      <w:iCs/>
      <w:color w:val="428DCC" w:themeColor="accent1"/>
      <w:sz w:val="19"/>
      <w:szCs w:val="21"/>
      <w:lang w:val="en-GB"/>
    </w:rPr>
  </w:style>
  <w:style w:type="paragraph" w:styleId="NoSpacing">
    <w:name w:val="No Spacing"/>
    <w:uiPriority w:val="1"/>
    <w:qFormat/>
    <w:rsid w:val="00B02D7C"/>
    <w:pPr>
      <w:jc w:val="both"/>
    </w:pPr>
    <w:rPr>
      <w:sz w:val="19"/>
      <w:szCs w:val="21"/>
      <w:lang w:val="en-GB"/>
    </w:rPr>
  </w:style>
  <w:style w:type="paragraph" w:styleId="Revision">
    <w:name w:val="Revision"/>
    <w:hidden/>
    <w:uiPriority w:val="99"/>
    <w:semiHidden/>
    <w:rsid w:val="00B02D7C"/>
    <w:rPr>
      <w:sz w:val="19"/>
      <w:szCs w:val="21"/>
      <w:lang w:val="en-GB"/>
    </w:rPr>
  </w:style>
  <w:style w:type="character" w:styleId="UnresolvedMention">
    <w:name w:val="Unresolved Mention"/>
    <w:basedOn w:val="DefaultParagraphFont"/>
    <w:uiPriority w:val="99"/>
    <w:semiHidden/>
    <w:unhideWhenUsed/>
    <w:rsid w:val="00D6214B"/>
    <w:rPr>
      <w:color w:val="605E5C"/>
      <w:shd w:val="clear" w:color="auto" w:fill="E1DFDD"/>
    </w:rPr>
  </w:style>
  <w:style w:type="character" w:styleId="CommentReference">
    <w:name w:val="annotation reference"/>
    <w:basedOn w:val="DefaultParagraphFont"/>
    <w:uiPriority w:val="99"/>
    <w:semiHidden/>
    <w:unhideWhenUsed/>
    <w:rsid w:val="00772ED8"/>
    <w:rPr>
      <w:sz w:val="16"/>
      <w:szCs w:val="16"/>
    </w:rPr>
  </w:style>
  <w:style w:type="paragraph" w:styleId="CommentText">
    <w:name w:val="annotation text"/>
    <w:basedOn w:val="Normal"/>
    <w:link w:val="CommentTextChar"/>
    <w:uiPriority w:val="99"/>
    <w:unhideWhenUsed/>
    <w:rsid w:val="00772ED8"/>
    <w:pPr>
      <w:spacing w:line="240" w:lineRule="auto"/>
    </w:pPr>
    <w:rPr>
      <w:szCs w:val="20"/>
    </w:rPr>
  </w:style>
  <w:style w:type="character" w:customStyle="1" w:styleId="CommentTextChar">
    <w:name w:val="Comment Text Char"/>
    <w:basedOn w:val="DefaultParagraphFont"/>
    <w:link w:val="CommentText"/>
    <w:uiPriority w:val="99"/>
    <w:rsid w:val="00772ED8"/>
    <w:rPr>
      <w:sz w:val="20"/>
      <w:szCs w:val="20"/>
      <w:lang w:val="en-GB"/>
    </w:rPr>
  </w:style>
  <w:style w:type="paragraph" w:styleId="CommentSubject">
    <w:name w:val="annotation subject"/>
    <w:basedOn w:val="CommentText"/>
    <w:next w:val="CommentText"/>
    <w:link w:val="CommentSubjectChar"/>
    <w:uiPriority w:val="99"/>
    <w:semiHidden/>
    <w:unhideWhenUsed/>
    <w:rsid w:val="00772ED8"/>
    <w:rPr>
      <w:b/>
      <w:bCs/>
    </w:rPr>
  </w:style>
  <w:style w:type="character" w:customStyle="1" w:styleId="CommentSubjectChar">
    <w:name w:val="Comment Subject Char"/>
    <w:basedOn w:val="CommentTextChar"/>
    <w:link w:val="CommentSubject"/>
    <w:uiPriority w:val="99"/>
    <w:semiHidden/>
    <w:rsid w:val="00772ED8"/>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8110676">
      <w:bodyDiv w:val="1"/>
      <w:marLeft w:val="0"/>
      <w:marRight w:val="0"/>
      <w:marTop w:val="0"/>
      <w:marBottom w:val="0"/>
      <w:divBdr>
        <w:top w:val="none" w:sz="0" w:space="0" w:color="auto"/>
        <w:left w:val="none" w:sz="0" w:space="0" w:color="auto"/>
        <w:bottom w:val="none" w:sz="0" w:space="0" w:color="auto"/>
        <w:right w:val="none" w:sz="0" w:space="0" w:color="auto"/>
      </w:divBdr>
    </w:div>
    <w:div w:id="1662462524">
      <w:bodyDiv w:val="1"/>
      <w:marLeft w:val="0"/>
      <w:marRight w:val="0"/>
      <w:marTop w:val="0"/>
      <w:marBottom w:val="0"/>
      <w:divBdr>
        <w:top w:val="none" w:sz="0" w:space="0" w:color="auto"/>
        <w:left w:val="none" w:sz="0" w:space="0" w:color="auto"/>
        <w:bottom w:val="none" w:sz="0" w:space="0" w:color="auto"/>
        <w:right w:val="none" w:sz="0" w:space="0" w:color="auto"/>
      </w:divBdr>
    </w:div>
    <w:div w:id="1798139790">
      <w:bodyDiv w:val="1"/>
      <w:marLeft w:val="0"/>
      <w:marRight w:val="0"/>
      <w:marTop w:val="0"/>
      <w:marBottom w:val="0"/>
      <w:divBdr>
        <w:top w:val="none" w:sz="0" w:space="0" w:color="auto"/>
        <w:left w:val="none" w:sz="0" w:space="0" w:color="auto"/>
        <w:bottom w:val="none" w:sz="0" w:space="0" w:color="auto"/>
        <w:right w:val="none" w:sz="0" w:space="0" w:color="auto"/>
      </w:divBdr>
    </w:div>
    <w:div w:id="2122020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publications.jrc.ec.europa.eu/repository/handle/JRC111476" TargetMode="External"/><Relationship Id="rId17" Type="http://schemas.openxmlformats.org/officeDocument/2006/relationships/header" Target="header1.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int-research-centre.ec.europa.eu/reference-measurement/interlaboratory-comparisons_en" TargetMode="External"/><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oter" Target="footer3.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circabc.europa.eu/ui/group/464a2dd9-149d-47d7-bfe2-98bac9af5f06/library/09107774-90da-4d4a-9f2b-92531d90b63d/details" TargetMode="External"/><Relationship Id="rId2" Type="http://schemas.openxmlformats.org/officeDocument/2006/relationships/hyperlink" Target="https://www.pops.int/TheConvention/POPsReviewCommittee/Meetings/POPRC18/Overview/tabid/9165/Default.aspx" TargetMode="External"/><Relationship Id="rId1" Type="http://schemas.openxmlformats.org/officeDocument/2006/relationships/hyperlink" Target="https://ec.europa.eu/info/law/better-regulation/have-your-say/initiatives/13888-Persistent-organic-pollutant-dechlorane-plus/F3474970_en"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omedaScoppio\Plastics%20Recyclers%20Europe\PRE%20Staff%20-%20Documents\PRE\Communication\1.%20PRE%20BRANDING\PRE%20Templates\PRE%20Position%20Paper%20Template%20updated.dotx" TargetMode="External"/></Relationships>
</file>

<file path=word/theme/theme1.xml><?xml version="1.0" encoding="utf-8"?>
<a:theme xmlns:a="http://schemas.openxmlformats.org/drawingml/2006/main" name="PRE_2022">
  <a:themeElements>
    <a:clrScheme name="PRE_2022">
      <a:dk1>
        <a:srgbClr val="585858"/>
      </a:dk1>
      <a:lt1>
        <a:srgbClr val="FFFFFF"/>
      </a:lt1>
      <a:dk2>
        <a:srgbClr val="585858"/>
      </a:dk2>
      <a:lt2>
        <a:srgbClr val="E7E6E6"/>
      </a:lt2>
      <a:accent1>
        <a:srgbClr val="428DCC"/>
      </a:accent1>
      <a:accent2>
        <a:srgbClr val="F0B533"/>
      </a:accent2>
      <a:accent3>
        <a:srgbClr val="71C09C"/>
      </a:accent3>
      <a:accent4>
        <a:srgbClr val="EF7C5B"/>
      </a:accent4>
      <a:accent5>
        <a:srgbClr val="585858"/>
      </a:accent5>
      <a:accent6>
        <a:srgbClr val="4A9EE7"/>
      </a:accent6>
      <a:hlink>
        <a:srgbClr val="6BB394"/>
      </a:hlink>
      <a:folHlink>
        <a:srgbClr val="EF7C5B"/>
      </a:folHlink>
    </a:clrScheme>
    <a:fontScheme name="Custom 7">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PRE_2022" id="{DA16C314-B7C8-C34E-A04F-4F1742158BDA}" vid="{14BE3EC4-200F-F246-9423-6FDD52E8B9C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02e918f-bf5b-41cd-97b6-4bdab517d4d1">
      <Terms xmlns="http://schemas.microsoft.com/office/infopath/2007/PartnerControls"/>
    </lcf76f155ced4ddcb4097134ff3c332f>
    <TaxCatchAll xmlns="ddc5ae4c-1a7d-4bc4-8060-d114568f1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A6C7E1F2CD5BA4C9BAE4CF610E3664E" ma:contentTypeVersion="15" ma:contentTypeDescription="Crée un document." ma:contentTypeScope="" ma:versionID="804218d7581bfaec3a7ab8558f616783">
  <xsd:schema xmlns:xsd="http://www.w3.org/2001/XMLSchema" xmlns:xs="http://www.w3.org/2001/XMLSchema" xmlns:p="http://schemas.microsoft.com/office/2006/metadata/properties" xmlns:ns2="402e918f-bf5b-41cd-97b6-4bdab517d4d1" xmlns:ns3="ddc5ae4c-1a7d-4bc4-8060-d114568f16cc" targetNamespace="http://schemas.microsoft.com/office/2006/metadata/properties" ma:root="true" ma:fieldsID="4821277459c732b6759862e3c54fe94e" ns2:_="" ns3:_="">
    <xsd:import namespace="402e918f-bf5b-41cd-97b6-4bdab517d4d1"/>
    <xsd:import namespace="ddc5ae4c-1a7d-4bc4-8060-d114568f16c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2e918f-bf5b-41cd-97b6-4bdab517d4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Balises d’images" ma:readOnly="false" ma:fieldId="{5cf76f15-5ced-4ddc-b409-7134ff3c332f}" ma:taxonomyMulti="true" ma:sspId="c7d1a1e4-8758-4ada-9ea1-98e443eaf46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c5ae4c-1a7d-4bc4-8060-d114568f16cc" elementFormDefault="qualified">
    <xsd:import namespace="http://schemas.microsoft.com/office/2006/documentManagement/types"/>
    <xsd:import namespace="http://schemas.microsoft.com/office/infopath/2007/PartnerControls"/>
    <xsd:element name="SharedWithUsers" ma:index="1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Partagé avec détails" ma:internalName="SharedWithDetails" ma:readOnly="true">
      <xsd:simpleType>
        <xsd:restriction base="dms:Note">
          <xsd:maxLength value="255"/>
        </xsd:restriction>
      </xsd:simpleType>
    </xsd:element>
    <xsd:element name="TaxCatchAll" ma:index="20" nillable="true" ma:displayName="Taxonomy Catch All Column" ma:hidden="true" ma:list="{4a3c4ae7-3433-4c65-8b04-998b3ea6516d}" ma:internalName="TaxCatchAll" ma:showField="CatchAllData" ma:web="ddc5ae4c-1a7d-4bc4-8060-d114568f16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16919-A692-4AD5-BF3D-7416AD74040C}">
  <ds:schemaRefs>
    <ds:schemaRef ds:uri="http://schemas.microsoft.com/sharepoint/v3/contenttype/forms"/>
  </ds:schemaRefs>
</ds:datastoreItem>
</file>

<file path=customXml/itemProps2.xml><?xml version="1.0" encoding="utf-8"?>
<ds:datastoreItem xmlns:ds="http://schemas.openxmlformats.org/officeDocument/2006/customXml" ds:itemID="{9FCA74A5-5586-4212-81C0-8E0C27171D8A}">
  <ds:schemaRefs>
    <ds:schemaRef ds:uri="http://schemas.microsoft.com/office/2006/metadata/properties"/>
    <ds:schemaRef ds:uri="http://schemas.microsoft.com/office/infopath/2007/PartnerControls"/>
    <ds:schemaRef ds:uri="402e918f-bf5b-41cd-97b6-4bdab517d4d1"/>
    <ds:schemaRef ds:uri="ddc5ae4c-1a7d-4bc4-8060-d114568f16cc"/>
  </ds:schemaRefs>
</ds:datastoreItem>
</file>

<file path=customXml/itemProps3.xml><?xml version="1.0" encoding="utf-8"?>
<ds:datastoreItem xmlns:ds="http://schemas.openxmlformats.org/officeDocument/2006/customXml" ds:itemID="{DEEF573A-BDA2-4A54-9542-DECF009C19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2e918f-bf5b-41cd-97b6-4bdab517d4d1"/>
    <ds:schemaRef ds:uri="ddc5ae4c-1a7d-4bc4-8060-d114568f1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F8EC4B-073D-406C-8202-1E3EEA73A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 Position Paper Template updated</Template>
  <TotalTime>0</TotalTime>
  <Pages>6</Pages>
  <Words>2100</Words>
  <Characters>11972</Characters>
  <Application>Microsoft Office Word</Application>
  <DocSecurity>0</DocSecurity>
  <Lines>99</Lines>
  <Paragraphs>28</Paragraphs>
  <ScaleCrop>false</ScaleCrop>
  <Company/>
  <LinksUpToDate>false</LinksUpToDate>
  <CharactersWithSpaces>14044</CharactersWithSpaces>
  <SharedDoc>false</SharedDoc>
  <HLinks>
    <vt:vector size="36" baseType="variant">
      <vt:variant>
        <vt:i4>327748</vt:i4>
      </vt:variant>
      <vt:variant>
        <vt:i4>18</vt:i4>
      </vt:variant>
      <vt:variant>
        <vt:i4>0</vt:i4>
      </vt:variant>
      <vt:variant>
        <vt:i4>5</vt:i4>
      </vt:variant>
      <vt:variant>
        <vt:lpwstr>https://publications.jrc.ec.europa.eu/repository/handle/JRC111476</vt:lpwstr>
      </vt:variant>
      <vt:variant>
        <vt:lpwstr/>
      </vt:variant>
      <vt:variant>
        <vt:i4>3342366</vt:i4>
      </vt:variant>
      <vt:variant>
        <vt:i4>9</vt:i4>
      </vt:variant>
      <vt:variant>
        <vt:i4>0</vt:i4>
      </vt:variant>
      <vt:variant>
        <vt:i4>5</vt:i4>
      </vt:variant>
      <vt:variant>
        <vt:lpwstr>https://ec.europa.eu/info/law/better-regulation/have-your-say/initiatives/13888-Persistent-organic-pollutant-dechlorane-plus/F3474970_en</vt:lpwstr>
      </vt:variant>
      <vt:variant>
        <vt:lpwstr/>
      </vt:variant>
      <vt:variant>
        <vt:i4>2097159</vt:i4>
      </vt:variant>
      <vt:variant>
        <vt:i4>6</vt:i4>
      </vt:variant>
      <vt:variant>
        <vt:i4>0</vt:i4>
      </vt:variant>
      <vt:variant>
        <vt:i4>5</vt:i4>
      </vt:variant>
      <vt:variant>
        <vt:lpwstr>https://joint-research-centre.ec.europa.eu/reference-measurement/interlaboratory-comparisons_en</vt:lpwstr>
      </vt:variant>
      <vt:variant>
        <vt:lpwstr/>
      </vt:variant>
      <vt:variant>
        <vt:i4>2359296</vt:i4>
      </vt:variant>
      <vt:variant>
        <vt:i4>3</vt:i4>
      </vt:variant>
      <vt:variant>
        <vt:i4>0</vt:i4>
      </vt:variant>
      <vt:variant>
        <vt:i4>5</vt:i4>
      </vt:variant>
      <vt:variant>
        <vt:lpwstr>https://ipen.org/sites/default/files/documents/ipen-recycled-plastic-pellets-v1_2.pdf</vt:lpwstr>
      </vt:variant>
      <vt:variant>
        <vt:lpwstr/>
      </vt:variant>
      <vt:variant>
        <vt:i4>1310750</vt:i4>
      </vt:variant>
      <vt:variant>
        <vt:i4>3</vt:i4>
      </vt:variant>
      <vt:variant>
        <vt:i4>0</vt:i4>
      </vt:variant>
      <vt:variant>
        <vt:i4>5</vt:i4>
      </vt:variant>
      <vt:variant>
        <vt:lpwstr>https://circabc.europa.eu/ui/group/464a2dd9-149d-47d7-bfe2-98bac9af5f06/library/09107774-90da-4d4a-9f2b-92531d90b63d/details</vt:lpwstr>
      </vt:variant>
      <vt:variant>
        <vt:lpwstr/>
      </vt:variant>
      <vt:variant>
        <vt:i4>1048592</vt:i4>
      </vt:variant>
      <vt:variant>
        <vt:i4>0</vt:i4>
      </vt:variant>
      <vt:variant>
        <vt:i4>0</vt:i4>
      </vt:variant>
      <vt:variant>
        <vt:i4>5</vt:i4>
      </vt:variant>
      <vt:variant>
        <vt:lpwstr>https://www.pops.int/TheConvention/POPsReviewCommittee/Meetings/POPRC18/Overview/tabid/9165/Default.aspx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Andromeda Scoppio</dc:creator>
  <cp:keywords/>
  <dc:description/>
  <cp:lastModifiedBy>Andromeda Scoppio</cp:lastModifiedBy>
  <cp:revision>4</cp:revision>
  <cp:lastPrinted>2022-07-25T16:59:00Z</cp:lastPrinted>
  <dcterms:created xsi:type="dcterms:W3CDTF">2024-08-06T09:36:00Z</dcterms:created>
  <dcterms:modified xsi:type="dcterms:W3CDTF">2024-08-06T11:32:00Z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0x010100EA6C7E1F2CD5BA4C9BAE4CF610E3664E</vt:lpwstr>
  </property>
  <property fmtid="{D5CDD505-2E9C-101B-9397-08002B2CF9AE}" pid="3" name="MediaServiceImageTags">
    <vt:lpwstr/>
  </property>
</Properties>
</file>