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D5" w:rsidRDefault="007C3080" w:rsidP="001778BD">
      <w:pPr>
        <w:pStyle w:val="Heading1"/>
        <w:ind w:left="0"/>
      </w:pPr>
      <w:bookmarkStart w:id="0" w:name="_GoBack"/>
      <w:bookmarkEnd w:id="0"/>
      <w:r>
        <w:t>Sekretarijat za kulturu i društvene djelatnosti</w:t>
      </w:r>
    </w:p>
    <w:p w:rsidR="001778BD" w:rsidRPr="001778BD" w:rsidRDefault="002E4F8A" w:rsidP="002E4F8A">
      <w:pPr>
        <w:tabs>
          <w:tab w:val="left" w:pos="5513"/>
        </w:tabs>
        <w:rPr>
          <w:lang w:val="hr-HR"/>
        </w:rPr>
      </w:pPr>
      <w:r>
        <w:rPr>
          <w:lang w:val="hr-HR"/>
        </w:rPr>
        <w:tab/>
      </w:r>
    </w:p>
    <w:p w:rsidR="00451F6C" w:rsidRPr="00375D08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lang w:val="hr-HR"/>
        </w:rPr>
      </w:pPr>
    </w:p>
    <w:p w:rsidR="00375D08" w:rsidRDefault="00D23B4D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  <w:r w:rsidRPr="00D23B4D">
        <w:rPr>
          <w:rFonts w:ascii="Arial" w:hAnsi="Arial" w:cs="Arial"/>
          <w:bCs/>
          <w:sz w:val="20"/>
          <w:lang w:val="hr-HR"/>
        </w:rPr>
        <w:t>Br:</w:t>
      </w:r>
      <w:r w:rsidR="000129C8">
        <w:rPr>
          <w:rFonts w:ascii="Arial" w:hAnsi="Arial" w:cs="Arial"/>
          <w:bCs/>
          <w:sz w:val="20"/>
          <w:u w:val="single"/>
          <w:lang w:val="hr-HR"/>
        </w:rPr>
        <w:t>04-040/20-24/</w:t>
      </w:r>
      <w:r>
        <w:rPr>
          <w:rFonts w:ascii="Arial" w:hAnsi="Arial" w:cs="Arial"/>
          <w:bCs/>
          <w:sz w:val="20"/>
          <w:lang w:val="hr-HR"/>
        </w:rPr>
        <w:t xml:space="preserve">                                     </w:t>
      </w:r>
      <w:r w:rsidR="000129C8">
        <w:rPr>
          <w:rFonts w:ascii="Arial" w:hAnsi="Arial" w:cs="Arial"/>
          <w:bCs/>
          <w:sz w:val="20"/>
          <w:lang w:val="hr-HR"/>
        </w:rPr>
        <w:t xml:space="preserve">                           </w:t>
      </w:r>
      <w:r>
        <w:rPr>
          <w:rFonts w:ascii="Arial" w:hAnsi="Arial" w:cs="Arial"/>
          <w:bCs/>
          <w:sz w:val="20"/>
          <w:lang w:val="hr-HR"/>
        </w:rPr>
        <w:t xml:space="preserve">                </w:t>
      </w:r>
      <w:r w:rsidR="00A13743">
        <w:rPr>
          <w:rFonts w:ascii="Arial" w:hAnsi="Arial" w:cs="Arial"/>
          <w:bCs/>
          <w:sz w:val="20"/>
          <w:lang w:val="hr-HR"/>
        </w:rPr>
        <w:t xml:space="preserve">        </w:t>
      </w:r>
      <w:r w:rsidR="000129C8">
        <w:rPr>
          <w:rFonts w:ascii="Arial" w:hAnsi="Arial" w:cs="Arial"/>
          <w:bCs/>
          <w:sz w:val="20"/>
          <w:lang w:val="hr-HR"/>
        </w:rPr>
        <w:t xml:space="preserve">                </w:t>
      </w:r>
      <w:r w:rsidR="00116650">
        <w:rPr>
          <w:rFonts w:ascii="Arial" w:hAnsi="Arial" w:cs="Arial"/>
          <w:bCs/>
          <w:sz w:val="20"/>
          <w:lang w:val="hr-HR"/>
        </w:rPr>
        <w:t>Tivat, 12</w:t>
      </w:r>
      <w:r w:rsidR="000129C8">
        <w:rPr>
          <w:rFonts w:ascii="Arial" w:hAnsi="Arial" w:cs="Arial"/>
          <w:bCs/>
          <w:sz w:val="20"/>
          <w:lang w:val="hr-HR"/>
        </w:rPr>
        <w:t>.05.</w:t>
      </w:r>
      <w:r w:rsidR="00A13743">
        <w:rPr>
          <w:rFonts w:ascii="Arial" w:hAnsi="Arial" w:cs="Arial"/>
          <w:bCs/>
          <w:sz w:val="20"/>
          <w:lang w:val="hr-HR"/>
        </w:rPr>
        <w:t>2020.g.</w:t>
      </w:r>
    </w:p>
    <w:p w:rsidR="00B167AC" w:rsidRPr="00D2455F" w:rsidRDefault="00D23B4D" w:rsidP="00375D0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0"/>
          <w:lang w:val="hr-HR"/>
        </w:rPr>
      </w:pPr>
      <w:r>
        <w:rPr>
          <w:rFonts w:ascii="Arial" w:hAnsi="Arial" w:cs="Arial"/>
          <w:bCs/>
          <w:sz w:val="20"/>
          <w:lang w:val="hr-HR"/>
        </w:rPr>
        <w:t xml:space="preserve"> </w:t>
      </w:r>
    </w:p>
    <w:p w:rsidR="004112D5" w:rsidRDefault="004112D5" w:rsidP="00B167AC">
      <w:pPr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4F5EFD" w:rsidRPr="00C6609E" w:rsidRDefault="000129C8" w:rsidP="00A373B9">
      <w:pPr>
        <w:tabs>
          <w:tab w:val="left" w:pos="700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C6609E">
        <w:rPr>
          <w:rFonts w:ascii="Arial" w:hAnsi="Arial" w:cs="Arial"/>
          <w:bCs/>
          <w:szCs w:val="24"/>
          <w:lang w:val="hr-HR"/>
        </w:rPr>
        <w:t xml:space="preserve">Na osnovu člana 17 </w:t>
      </w:r>
      <w:r w:rsidR="000205AA" w:rsidRPr="00C6609E">
        <w:rPr>
          <w:rFonts w:ascii="Arial" w:hAnsi="Arial" w:cs="Arial"/>
          <w:bCs/>
          <w:szCs w:val="24"/>
          <w:lang w:val="hr-HR"/>
        </w:rPr>
        <w:t xml:space="preserve">stav 2 </w:t>
      </w:r>
      <w:r w:rsidRPr="00C6609E">
        <w:rPr>
          <w:rFonts w:ascii="Arial" w:hAnsi="Arial" w:cs="Arial"/>
          <w:bCs/>
          <w:szCs w:val="24"/>
          <w:lang w:val="hr-HR"/>
        </w:rPr>
        <w:t xml:space="preserve">Odluke o kriterijumima, načinu i postupku raspodjele sredstava za izdavačku djelatnost </w:t>
      </w:r>
      <w:r w:rsidR="00F03708" w:rsidRPr="00F03708">
        <w:rPr>
          <w:rFonts w:ascii="Arial" w:hAnsi="Arial" w:cs="Arial"/>
          <w:bCs/>
          <w:szCs w:val="24"/>
          <w:lang w:val="hr-HR"/>
        </w:rPr>
        <w:t>("Službeni list Crne Gore - opštinski propisi", br. 019/19 od 13.05.2019, 009/20 od 04.03.2020)</w:t>
      </w:r>
      <w:r w:rsidR="00BE3E8F">
        <w:rPr>
          <w:rFonts w:ascii="Arial" w:hAnsi="Arial" w:cs="Arial"/>
          <w:bCs/>
          <w:szCs w:val="24"/>
          <w:lang w:val="hr-HR"/>
        </w:rPr>
        <w:t xml:space="preserve">, </w:t>
      </w:r>
      <w:r w:rsidR="004F5EFD" w:rsidRPr="00C6609E">
        <w:rPr>
          <w:rFonts w:ascii="Arial" w:hAnsi="Arial" w:cs="Arial"/>
          <w:bCs/>
          <w:szCs w:val="24"/>
          <w:lang w:val="hr-HR"/>
        </w:rPr>
        <w:t>Javnog konkursa za raspodjelu sredstava iz Budžeta Opštine Tivat opredijeljenih za izdavačku djelatnost br.04-040/20-24/4 od 17.03.2020.godine, te na osnovu Prijedloga odluke o sufinansiranju projekata za izdavačku djelatnost za 2020. godinu br.04-040/20-24/29 od 05.05.2020.godine</w:t>
      </w:r>
      <w:r w:rsidR="00C6609E">
        <w:rPr>
          <w:rFonts w:ascii="Arial" w:hAnsi="Arial" w:cs="Arial"/>
          <w:bCs/>
          <w:szCs w:val="24"/>
          <w:lang w:val="hr-HR"/>
        </w:rPr>
        <w:t xml:space="preserve"> kojeg</w:t>
      </w:r>
      <w:r w:rsidR="00D70678" w:rsidRPr="00C6609E">
        <w:rPr>
          <w:rFonts w:ascii="Arial" w:hAnsi="Arial" w:cs="Arial"/>
          <w:bCs/>
          <w:szCs w:val="24"/>
          <w:lang w:val="hr-HR"/>
        </w:rPr>
        <w:t xml:space="preserve"> je donijela Komisija za raspodjelu sredstava za izdavačku djelatnost</w:t>
      </w:r>
      <w:r w:rsidR="004F5EFD" w:rsidRPr="00C6609E">
        <w:rPr>
          <w:rFonts w:ascii="Arial" w:hAnsi="Arial" w:cs="Arial"/>
          <w:bCs/>
          <w:szCs w:val="24"/>
          <w:lang w:val="hr-HR"/>
        </w:rPr>
        <w:t xml:space="preserve">, Sekretarijat za kulturu i društvene djelatnosti donosi </w:t>
      </w:r>
    </w:p>
    <w:p w:rsidR="004F5EFD" w:rsidRPr="00C6609E" w:rsidRDefault="004F5EFD" w:rsidP="00A373B9">
      <w:pPr>
        <w:tabs>
          <w:tab w:val="left" w:pos="700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4F5EFD" w:rsidRPr="00C6609E" w:rsidRDefault="004F5EFD" w:rsidP="004F5EFD">
      <w:pPr>
        <w:tabs>
          <w:tab w:val="left" w:pos="700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</w:p>
    <w:p w:rsidR="000F2BFC" w:rsidRPr="00C6609E" w:rsidRDefault="004F5EFD" w:rsidP="004F5EFD">
      <w:pPr>
        <w:tabs>
          <w:tab w:val="left" w:pos="700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 w:rsidRPr="00C6609E">
        <w:rPr>
          <w:rFonts w:ascii="Arial" w:hAnsi="Arial" w:cs="Arial"/>
          <w:b/>
          <w:bCs/>
          <w:szCs w:val="24"/>
          <w:lang w:val="hr-HR"/>
        </w:rPr>
        <w:t>ODLUKU</w:t>
      </w:r>
    </w:p>
    <w:p w:rsidR="004F5EFD" w:rsidRPr="00C6609E" w:rsidRDefault="004F5EFD" w:rsidP="004F5EFD">
      <w:pPr>
        <w:tabs>
          <w:tab w:val="left" w:pos="700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 w:rsidRPr="00C6609E">
        <w:rPr>
          <w:rFonts w:ascii="Arial" w:hAnsi="Arial" w:cs="Arial"/>
          <w:b/>
          <w:bCs/>
          <w:szCs w:val="24"/>
          <w:lang w:val="hr-HR"/>
        </w:rPr>
        <w:t xml:space="preserve">o sufinansiranju projekata za izdavačku djelatnost za 2020. </w:t>
      </w:r>
      <w:r w:rsidR="00C20335" w:rsidRPr="00C6609E">
        <w:rPr>
          <w:rFonts w:ascii="Arial" w:hAnsi="Arial" w:cs="Arial"/>
          <w:b/>
          <w:bCs/>
          <w:szCs w:val="24"/>
          <w:lang w:val="hr-HR"/>
        </w:rPr>
        <w:t>g</w:t>
      </w:r>
      <w:r w:rsidRPr="00C6609E">
        <w:rPr>
          <w:rFonts w:ascii="Arial" w:hAnsi="Arial" w:cs="Arial"/>
          <w:b/>
          <w:bCs/>
          <w:szCs w:val="24"/>
          <w:lang w:val="hr-HR"/>
        </w:rPr>
        <w:t>odinu</w:t>
      </w:r>
    </w:p>
    <w:p w:rsidR="0004386D" w:rsidRPr="00C6609E" w:rsidRDefault="0004386D" w:rsidP="0004386D">
      <w:pPr>
        <w:rPr>
          <w:rFonts w:ascii="Arial" w:hAnsi="Arial" w:cs="Arial"/>
          <w:bCs/>
          <w:szCs w:val="24"/>
          <w:lang w:val="hr-HR"/>
        </w:rPr>
      </w:pPr>
    </w:p>
    <w:p w:rsidR="004F5EFD" w:rsidRPr="00971246" w:rsidRDefault="00C20335" w:rsidP="00971246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C6609E">
        <w:rPr>
          <w:rFonts w:ascii="Arial" w:hAnsi="Arial" w:cs="Arial"/>
          <w:szCs w:val="24"/>
        </w:rPr>
        <w:t xml:space="preserve">Sekretarijat za kulturu i društvene djelatnosti u 2020. godini </w:t>
      </w:r>
      <w:r w:rsidR="001A4F2B" w:rsidRPr="00C6609E">
        <w:rPr>
          <w:rFonts w:ascii="Arial" w:hAnsi="Arial" w:cs="Arial"/>
          <w:szCs w:val="24"/>
        </w:rPr>
        <w:t>sufinansiraće ukupno tri projekta iz</w:t>
      </w:r>
      <w:r w:rsidR="00971246">
        <w:rPr>
          <w:rFonts w:ascii="Arial" w:hAnsi="Arial" w:cs="Arial"/>
          <w:szCs w:val="24"/>
        </w:rPr>
        <w:t xml:space="preserve"> oblasti izdavačke djelatnosti-</w:t>
      </w:r>
      <w:r w:rsidR="001A4F2B" w:rsidRPr="00C6609E">
        <w:rPr>
          <w:rFonts w:ascii="Arial" w:hAnsi="Arial" w:cs="Arial"/>
          <w:szCs w:val="24"/>
        </w:rPr>
        <w:t xml:space="preserve"> pu</w:t>
      </w:r>
      <w:r w:rsidR="00971246">
        <w:rPr>
          <w:rFonts w:ascii="Arial" w:hAnsi="Arial" w:cs="Arial"/>
          <w:szCs w:val="24"/>
        </w:rPr>
        <w:t xml:space="preserve">blikacije (knjige i  </w:t>
      </w:r>
      <w:r w:rsidR="00971246" w:rsidRPr="00971246">
        <w:rPr>
          <w:rFonts w:ascii="Arial" w:hAnsi="Arial" w:cs="Arial"/>
          <w:szCs w:val="24"/>
        </w:rPr>
        <w:t>m</w:t>
      </w:r>
      <w:r w:rsidR="00971246">
        <w:rPr>
          <w:rFonts w:ascii="Arial" w:hAnsi="Arial" w:cs="Arial"/>
          <w:szCs w:val="24"/>
        </w:rPr>
        <w:t xml:space="preserve">onografske </w:t>
      </w:r>
      <w:r w:rsidR="00971246" w:rsidRPr="00971246">
        <w:rPr>
          <w:rFonts w:ascii="Arial" w:hAnsi="Arial" w:cs="Arial"/>
          <w:szCs w:val="24"/>
        </w:rPr>
        <w:t xml:space="preserve">publikacije),u </w:t>
      </w:r>
      <w:r w:rsidR="001A4F2B" w:rsidRPr="00971246">
        <w:rPr>
          <w:rFonts w:ascii="Arial" w:hAnsi="Arial" w:cs="Arial"/>
          <w:szCs w:val="24"/>
        </w:rPr>
        <w:t xml:space="preserve">ukupnom iznosu od </w:t>
      </w:r>
      <w:r w:rsidR="00C525C4" w:rsidRPr="00971246">
        <w:rPr>
          <w:rFonts w:ascii="Arial" w:hAnsi="Arial" w:cs="Arial"/>
          <w:b/>
          <w:szCs w:val="24"/>
        </w:rPr>
        <w:t>4.999,62</w:t>
      </w:r>
      <w:r w:rsidR="001A4F2B" w:rsidRPr="00971246">
        <w:rPr>
          <w:rFonts w:ascii="Arial" w:hAnsi="Arial" w:cs="Arial"/>
          <w:szCs w:val="24"/>
        </w:rPr>
        <w:t>€</w:t>
      </w:r>
      <w:r w:rsidR="00C525C4" w:rsidRPr="00971246">
        <w:rPr>
          <w:rFonts w:ascii="Arial" w:hAnsi="Arial" w:cs="Arial"/>
          <w:szCs w:val="24"/>
        </w:rPr>
        <w:t xml:space="preserve"> </w:t>
      </w:r>
      <w:r w:rsidR="00C525C4" w:rsidRPr="00971246">
        <w:rPr>
          <w:rFonts w:ascii="Arial" w:hAnsi="Arial" w:cs="Arial"/>
          <w:b/>
          <w:szCs w:val="24"/>
        </w:rPr>
        <w:t>(četirihiljadedevetstotinadevedesetdeveteurašezdesetdvacenta</w:t>
      </w:r>
      <w:r w:rsidR="004E66D7" w:rsidRPr="00971246">
        <w:rPr>
          <w:rFonts w:ascii="Arial" w:hAnsi="Arial" w:cs="Arial"/>
          <w:szCs w:val="24"/>
        </w:rPr>
        <w:t>).</w:t>
      </w:r>
    </w:p>
    <w:p w:rsidR="001A4F2B" w:rsidRPr="001126E0" w:rsidRDefault="001A4F2B" w:rsidP="001126E0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1126E0">
        <w:rPr>
          <w:rFonts w:ascii="Arial" w:hAnsi="Arial" w:cs="Arial"/>
          <w:szCs w:val="24"/>
        </w:rPr>
        <w:t>Dodjeljuju se sredstva nevladinim organizacijama, fizičkim i pravnim licima sa teritorije Crne Gore</w:t>
      </w:r>
      <w:r w:rsidR="00C6609E" w:rsidRPr="001126E0">
        <w:rPr>
          <w:rFonts w:ascii="Arial" w:hAnsi="Arial" w:cs="Arial"/>
          <w:szCs w:val="24"/>
        </w:rPr>
        <w:t>, kako slijedi (tabelarni prikaz):</w:t>
      </w:r>
      <w:r w:rsidRPr="001126E0">
        <w:rPr>
          <w:rFonts w:ascii="Arial" w:hAnsi="Arial" w:cs="Arial"/>
          <w:szCs w:val="24"/>
        </w:rPr>
        <w:t xml:space="preserve"> </w:t>
      </w:r>
    </w:p>
    <w:p w:rsidR="0012752E" w:rsidRPr="00C6609E" w:rsidRDefault="0012752E" w:rsidP="0012752E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97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18"/>
        <w:gridCol w:w="1622"/>
        <w:gridCol w:w="1710"/>
        <w:gridCol w:w="1130"/>
        <w:gridCol w:w="1750"/>
        <w:gridCol w:w="1530"/>
        <w:gridCol w:w="1260"/>
      </w:tblGrid>
      <w:tr w:rsidR="00C6609E" w:rsidRPr="00C6609E" w:rsidTr="000E4743">
        <w:trPr>
          <w:trHeight w:val="1333"/>
        </w:trPr>
        <w:tc>
          <w:tcPr>
            <w:tcW w:w="718" w:type="dxa"/>
            <w:shd w:val="clear" w:color="auto" w:fill="A6A6A6" w:themeFill="background1" w:themeFillShade="A6"/>
          </w:tcPr>
          <w:p w:rsidR="0012752E" w:rsidRPr="00C6609E" w:rsidRDefault="0012752E" w:rsidP="0012752E">
            <w:pPr>
              <w:spacing w:before="0" w:after="0" w:line="240" w:lineRule="auto"/>
              <w:rPr>
                <w:rFonts w:ascii="Arial" w:hAnsi="Arial" w:cs="Arial"/>
                <w:b/>
                <w:sz w:val="22"/>
              </w:rPr>
            </w:pPr>
            <w:r w:rsidRPr="00C6609E">
              <w:rPr>
                <w:rFonts w:ascii="Arial" w:hAnsi="Arial" w:cs="Arial"/>
                <w:b/>
                <w:sz w:val="22"/>
              </w:rPr>
              <w:t>R.br.</w:t>
            </w:r>
          </w:p>
        </w:tc>
        <w:tc>
          <w:tcPr>
            <w:tcW w:w="1622" w:type="dxa"/>
            <w:shd w:val="clear" w:color="auto" w:fill="A6A6A6" w:themeFill="background1" w:themeFillShade="A6"/>
          </w:tcPr>
          <w:p w:rsidR="0012752E" w:rsidRPr="00C6609E" w:rsidRDefault="0012752E" w:rsidP="0012752E">
            <w:pPr>
              <w:spacing w:before="0" w:after="0" w:line="240" w:lineRule="auto"/>
              <w:rPr>
                <w:rFonts w:ascii="Arial" w:hAnsi="Arial" w:cs="Arial"/>
                <w:b/>
                <w:sz w:val="22"/>
              </w:rPr>
            </w:pP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Naziv</w:t>
            </w:r>
            <w:proofErr w:type="spellEnd"/>
            <w:r w:rsidRPr="00C6609E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podnosioca</w:t>
            </w:r>
            <w:proofErr w:type="spellEnd"/>
            <w:r w:rsidRPr="00C6609E"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12752E" w:rsidRPr="00C6609E" w:rsidRDefault="00B64F53" w:rsidP="0012752E">
            <w:pPr>
              <w:spacing w:before="0" w:after="0" w:line="240" w:lineRule="auto"/>
              <w:rPr>
                <w:rFonts w:ascii="Arial" w:hAnsi="Arial" w:cs="Arial"/>
                <w:b/>
                <w:sz w:val="22"/>
              </w:rPr>
            </w:pP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p</w:t>
            </w:r>
            <w:r w:rsidR="0012752E" w:rsidRPr="00C6609E">
              <w:rPr>
                <w:rFonts w:ascii="Arial" w:hAnsi="Arial" w:cs="Arial"/>
                <w:b/>
                <w:sz w:val="22"/>
              </w:rPr>
              <w:t>rijave</w:t>
            </w:r>
            <w:proofErr w:type="spellEnd"/>
          </w:p>
        </w:tc>
        <w:tc>
          <w:tcPr>
            <w:tcW w:w="1710" w:type="dxa"/>
            <w:shd w:val="clear" w:color="auto" w:fill="A6A6A6" w:themeFill="background1" w:themeFillShade="A6"/>
          </w:tcPr>
          <w:p w:rsidR="0012752E" w:rsidRPr="00C6609E" w:rsidRDefault="0012752E" w:rsidP="0012752E">
            <w:pPr>
              <w:spacing w:before="0" w:after="0" w:line="240" w:lineRule="auto"/>
              <w:rPr>
                <w:rFonts w:ascii="Arial" w:hAnsi="Arial" w:cs="Arial"/>
                <w:b/>
                <w:sz w:val="22"/>
              </w:rPr>
            </w:pP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Naziv</w:t>
            </w:r>
            <w:proofErr w:type="spellEnd"/>
            <w:r w:rsidRPr="00C6609E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projekta</w:t>
            </w:r>
            <w:proofErr w:type="spellEnd"/>
          </w:p>
        </w:tc>
        <w:tc>
          <w:tcPr>
            <w:tcW w:w="1130" w:type="dxa"/>
            <w:shd w:val="clear" w:color="auto" w:fill="A6A6A6" w:themeFill="background1" w:themeFillShade="A6"/>
          </w:tcPr>
          <w:p w:rsidR="0012752E" w:rsidRPr="00C6609E" w:rsidRDefault="0012752E" w:rsidP="0012752E">
            <w:pPr>
              <w:spacing w:before="0" w:after="0" w:line="240" w:lineRule="auto"/>
              <w:rPr>
                <w:rFonts w:ascii="Arial" w:hAnsi="Arial" w:cs="Arial"/>
                <w:b/>
                <w:sz w:val="22"/>
              </w:rPr>
            </w:pP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Prosjek</w:t>
            </w:r>
            <w:proofErr w:type="spellEnd"/>
            <w:r w:rsidRPr="00C6609E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bodova</w:t>
            </w:r>
            <w:proofErr w:type="spellEnd"/>
          </w:p>
        </w:tc>
        <w:tc>
          <w:tcPr>
            <w:tcW w:w="1750" w:type="dxa"/>
            <w:shd w:val="clear" w:color="auto" w:fill="A6A6A6" w:themeFill="background1" w:themeFillShade="A6"/>
          </w:tcPr>
          <w:p w:rsidR="00971246" w:rsidRPr="00C6609E" w:rsidRDefault="0012752E" w:rsidP="00971246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Ukupan</w:t>
            </w:r>
            <w:proofErr w:type="spellEnd"/>
            <w:r w:rsidRPr="00C6609E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iznos</w:t>
            </w:r>
            <w:proofErr w:type="spellEnd"/>
            <w:r w:rsidRPr="00C6609E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sredstava</w:t>
            </w:r>
            <w:proofErr w:type="spellEnd"/>
            <w:r w:rsidRPr="00C6609E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potrebnih</w:t>
            </w:r>
            <w:proofErr w:type="spellEnd"/>
            <w:r w:rsidRPr="00C6609E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za</w:t>
            </w:r>
            <w:proofErr w:type="spellEnd"/>
            <w:r w:rsidRPr="00C6609E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realizaciju</w:t>
            </w:r>
            <w:proofErr w:type="spellEnd"/>
            <w:r w:rsidRPr="00C6609E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projekta</w:t>
            </w:r>
            <w:proofErr w:type="spellEnd"/>
            <w:r w:rsidR="00971246">
              <w:rPr>
                <w:rFonts w:ascii="Arial" w:hAnsi="Arial" w:cs="Arial"/>
                <w:b/>
                <w:sz w:val="22"/>
              </w:rPr>
              <w:t xml:space="preserve"> </w:t>
            </w:r>
            <w:r w:rsidR="00971246" w:rsidRPr="00C6609E">
              <w:rPr>
                <w:rFonts w:ascii="Arial" w:hAnsi="Arial" w:cs="Arial"/>
                <w:b/>
                <w:sz w:val="22"/>
              </w:rPr>
              <w:t>(€)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:rsidR="0012752E" w:rsidRPr="00C6609E" w:rsidRDefault="0012752E" w:rsidP="00646B37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Iznos</w:t>
            </w:r>
            <w:proofErr w:type="spellEnd"/>
            <w:r w:rsidRPr="00C6609E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sredstava</w:t>
            </w:r>
            <w:proofErr w:type="spellEnd"/>
          </w:p>
          <w:p w:rsidR="0012752E" w:rsidRPr="00C6609E" w:rsidRDefault="00971246" w:rsidP="00646B37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12752E" w:rsidRPr="00C6609E">
              <w:rPr>
                <w:rFonts w:ascii="Arial" w:hAnsi="Arial" w:cs="Arial"/>
                <w:b/>
                <w:sz w:val="22"/>
              </w:rPr>
              <w:t>koja</w:t>
            </w:r>
            <w:proofErr w:type="spellEnd"/>
            <w:r w:rsidR="0012752E" w:rsidRPr="00C6609E">
              <w:rPr>
                <w:rFonts w:ascii="Arial" w:hAnsi="Arial" w:cs="Arial"/>
                <w:b/>
                <w:sz w:val="22"/>
              </w:rPr>
              <w:t xml:space="preserve"> se </w:t>
            </w:r>
          </w:p>
          <w:p w:rsidR="00971246" w:rsidRDefault="00646B37" w:rsidP="00971246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traže</w:t>
            </w:r>
            <w:proofErr w:type="spellEnd"/>
            <w:r w:rsidRPr="00C6609E">
              <w:rPr>
                <w:rFonts w:ascii="Arial" w:hAnsi="Arial" w:cs="Arial"/>
                <w:b/>
                <w:sz w:val="22"/>
              </w:rPr>
              <w:t xml:space="preserve"> </w:t>
            </w:r>
            <w:r w:rsidR="0012752E" w:rsidRPr="00C6609E">
              <w:rPr>
                <w:rFonts w:ascii="Arial" w:hAnsi="Arial" w:cs="Arial"/>
                <w:b/>
                <w:sz w:val="22"/>
              </w:rPr>
              <w:t xml:space="preserve">od </w:t>
            </w:r>
            <w:proofErr w:type="spellStart"/>
            <w:r w:rsidR="0012752E" w:rsidRPr="00C6609E">
              <w:rPr>
                <w:rFonts w:ascii="Arial" w:hAnsi="Arial" w:cs="Arial"/>
                <w:b/>
                <w:sz w:val="22"/>
              </w:rPr>
              <w:t>Opštine</w:t>
            </w:r>
            <w:proofErr w:type="spellEnd"/>
            <w:r w:rsidR="00971246">
              <w:rPr>
                <w:rFonts w:ascii="Arial" w:hAnsi="Arial" w:cs="Arial"/>
                <w:b/>
                <w:sz w:val="22"/>
              </w:rPr>
              <w:t xml:space="preserve"> </w:t>
            </w:r>
            <w:r w:rsidR="00971246" w:rsidRPr="00C6609E">
              <w:rPr>
                <w:rFonts w:ascii="Arial" w:hAnsi="Arial" w:cs="Arial"/>
                <w:b/>
                <w:sz w:val="22"/>
              </w:rPr>
              <w:t>(€)</w:t>
            </w:r>
          </w:p>
          <w:p w:rsidR="0012752E" w:rsidRPr="00C6609E" w:rsidRDefault="0012752E" w:rsidP="00646B37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:rsidR="00971246" w:rsidRDefault="00E73872">
            <w:pPr>
              <w:spacing w:before="0" w:after="200" w:line="276" w:lineRule="auto"/>
              <w:jc w:val="left"/>
              <w:rPr>
                <w:rFonts w:ascii="Arial" w:hAnsi="Arial" w:cs="Arial"/>
                <w:b/>
                <w:sz w:val="22"/>
              </w:rPr>
            </w:pP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Odobrena</w:t>
            </w:r>
            <w:proofErr w:type="spellEnd"/>
            <w:r w:rsidRPr="00C6609E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b/>
                <w:sz w:val="22"/>
              </w:rPr>
              <w:t>sredstva</w:t>
            </w:r>
            <w:proofErr w:type="spellEnd"/>
          </w:p>
          <w:p w:rsidR="0012752E" w:rsidRPr="00C6609E" w:rsidRDefault="00E73872" w:rsidP="00971246">
            <w:pPr>
              <w:spacing w:before="0" w:after="200" w:line="276" w:lineRule="auto"/>
              <w:jc w:val="left"/>
              <w:rPr>
                <w:rFonts w:ascii="Arial" w:hAnsi="Arial" w:cs="Arial"/>
                <w:b/>
                <w:sz w:val="22"/>
              </w:rPr>
            </w:pPr>
            <w:r w:rsidRPr="00C6609E">
              <w:rPr>
                <w:rFonts w:ascii="Arial" w:hAnsi="Arial" w:cs="Arial"/>
                <w:b/>
                <w:sz w:val="22"/>
              </w:rPr>
              <w:t>(€)</w:t>
            </w:r>
          </w:p>
        </w:tc>
      </w:tr>
      <w:tr w:rsidR="00C6609E" w:rsidRPr="00C6609E" w:rsidTr="000E4743">
        <w:trPr>
          <w:trHeight w:val="350"/>
        </w:trPr>
        <w:tc>
          <w:tcPr>
            <w:tcW w:w="718" w:type="dxa"/>
            <w:shd w:val="clear" w:color="auto" w:fill="A6A6A6" w:themeFill="background1" w:themeFillShade="A6"/>
          </w:tcPr>
          <w:p w:rsidR="0012752E" w:rsidRPr="00C6609E" w:rsidRDefault="0012752E" w:rsidP="0012752E">
            <w:pPr>
              <w:numPr>
                <w:ilvl w:val="0"/>
                <w:numId w:val="7"/>
              </w:numPr>
              <w:spacing w:before="0" w:after="0" w:line="240" w:lineRule="auto"/>
              <w:contextualSpacing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22" w:type="dxa"/>
          </w:tcPr>
          <w:p w:rsidR="0012752E" w:rsidRPr="00C6609E" w:rsidRDefault="001126E0" w:rsidP="0012752E">
            <w:pPr>
              <w:spacing w:before="0"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NVU “</w:t>
            </w:r>
            <w:proofErr w:type="spellStart"/>
            <w:r>
              <w:rPr>
                <w:rFonts w:ascii="Arial" w:hAnsi="Arial" w:cs="Arial"/>
                <w:szCs w:val="24"/>
              </w:rPr>
              <w:t>Maškarada</w:t>
            </w:r>
            <w:proofErr w:type="spellEnd"/>
            <w:r w:rsidR="0012752E" w:rsidRPr="00C6609E">
              <w:rPr>
                <w:rFonts w:ascii="Arial" w:hAnsi="Arial" w:cs="Arial"/>
                <w:szCs w:val="24"/>
              </w:rPr>
              <w:t xml:space="preserve">” </w:t>
            </w:r>
          </w:p>
        </w:tc>
        <w:tc>
          <w:tcPr>
            <w:tcW w:w="1710" w:type="dxa"/>
          </w:tcPr>
          <w:p w:rsidR="0012752E" w:rsidRPr="00C6609E" w:rsidRDefault="0012752E" w:rsidP="0012752E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C6609E">
              <w:rPr>
                <w:rFonts w:ascii="Arial" w:hAnsi="Arial" w:cs="Arial"/>
                <w:szCs w:val="24"/>
              </w:rPr>
              <w:t>Monografska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publikacija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“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Tradicija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maškaranja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Tivtu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” </w:t>
            </w:r>
          </w:p>
        </w:tc>
        <w:tc>
          <w:tcPr>
            <w:tcW w:w="1130" w:type="dxa"/>
          </w:tcPr>
          <w:p w:rsidR="0012752E" w:rsidRPr="00C6609E" w:rsidRDefault="0012752E" w:rsidP="0012752E">
            <w:pPr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C6609E">
              <w:rPr>
                <w:rFonts w:ascii="Arial" w:hAnsi="Arial" w:cs="Arial"/>
                <w:szCs w:val="24"/>
              </w:rPr>
              <w:t>28,5</w:t>
            </w:r>
          </w:p>
        </w:tc>
        <w:tc>
          <w:tcPr>
            <w:tcW w:w="1750" w:type="dxa"/>
          </w:tcPr>
          <w:p w:rsidR="0012752E" w:rsidRPr="00C6609E" w:rsidRDefault="0012752E" w:rsidP="0012752E">
            <w:pPr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C6609E">
              <w:rPr>
                <w:rFonts w:ascii="Arial" w:hAnsi="Arial" w:cs="Arial"/>
                <w:szCs w:val="24"/>
              </w:rPr>
              <w:t>4.550,00</w:t>
            </w:r>
          </w:p>
        </w:tc>
        <w:tc>
          <w:tcPr>
            <w:tcW w:w="1530" w:type="dxa"/>
          </w:tcPr>
          <w:p w:rsidR="0012752E" w:rsidRPr="00C6609E" w:rsidRDefault="0012752E" w:rsidP="0012752E">
            <w:pPr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  <w:r w:rsidRPr="00C6609E">
              <w:rPr>
                <w:rFonts w:ascii="Arial" w:hAnsi="Arial" w:cs="Arial"/>
                <w:b/>
                <w:szCs w:val="24"/>
              </w:rPr>
              <w:t>2.275,00</w:t>
            </w:r>
            <w:r w:rsidR="00971246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12752E" w:rsidRPr="00C6609E" w:rsidRDefault="001126E0" w:rsidP="00C525C4">
            <w:pPr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1.</w:t>
            </w:r>
            <w:r w:rsidR="00C525C4">
              <w:rPr>
                <w:rFonts w:ascii="Arial" w:hAnsi="Arial" w:cs="Arial"/>
                <w:b/>
                <w:szCs w:val="24"/>
              </w:rPr>
              <w:t>720,26</w:t>
            </w:r>
          </w:p>
        </w:tc>
      </w:tr>
      <w:tr w:rsidR="00C6609E" w:rsidRPr="00C6609E" w:rsidTr="000E4743">
        <w:tc>
          <w:tcPr>
            <w:tcW w:w="718" w:type="dxa"/>
            <w:shd w:val="clear" w:color="auto" w:fill="A6A6A6" w:themeFill="background1" w:themeFillShade="A6"/>
          </w:tcPr>
          <w:p w:rsidR="0012752E" w:rsidRPr="00C6609E" w:rsidRDefault="0012752E" w:rsidP="0012752E">
            <w:pPr>
              <w:numPr>
                <w:ilvl w:val="0"/>
                <w:numId w:val="7"/>
              </w:numPr>
              <w:spacing w:before="0" w:after="0" w:line="240" w:lineRule="auto"/>
              <w:contextualSpacing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22" w:type="dxa"/>
          </w:tcPr>
          <w:p w:rsidR="0012752E" w:rsidRPr="00C6609E" w:rsidRDefault="0012752E" w:rsidP="0012752E">
            <w:pPr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C6609E">
              <w:rPr>
                <w:rFonts w:ascii="Arial" w:hAnsi="Arial" w:cs="Arial"/>
                <w:szCs w:val="24"/>
              </w:rPr>
              <w:t xml:space="preserve">Puzzle 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d.o.o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710" w:type="dxa"/>
          </w:tcPr>
          <w:p w:rsidR="0012752E" w:rsidRPr="00C6609E" w:rsidRDefault="0012752E" w:rsidP="0012752E">
            <w:pPr>
              <w:spacing w:before="0" w:after="0" w:line="240" w:lineRule="auto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C6609E">
              <w:rPr>
                <w:rFonts w:ascii="Arial" w:hAnsi="Arial" w:cs="Arial"/>
                <w:szCs w:val="24"/>
              </w:rPr>
              <w:t>Monografska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publikacija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“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Lica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mog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vremena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” </w:t>
            </w:r>
          </w:p>
        </w:tc>
        <w:tc>
          <w:tcPr>
            <w:tcW w:w="1130" w:type="dxa"/>
          </w:tcPr>
          <w:p w:rsidR="0012752E" w:rsidRPr="00C6609E" w:rsidRDefault="0012752E" w:rsidP="0012752E">
            <w:pPr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C6609E">
              <w:rPr>
                <w:rFonts w:ascii="Arial" w:hAnsi="Arial" w:cs="Arial"/>
                <w:szCs w:val="24"/>
              </w:rPr>
              <w:t>27,33</w:t>
            </w:r>
          </w:p>
        </w:tc>
        <w:tc>
          <w:tcPr>
            <w:tcW w:w="1750" w:type="dxa"/>
          </w:tcPr>
          <w:p w:rsidR="0012752E" w:rsidRPr="00C6609E" w:rsidRDefault="0012752E" w:rsidP="0012752E">
            <w:pPr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C6609E">
              <w:rPr>
                <w:rFonts w:ascii="Arial" w:hAnsi="Arial" w:cs="Arial"/>
                <w:szCs w:val="24"/>
              </w:rPr>
              <w:t>5.398,00</w:t>
            </w:r>
            <w:r w:rsidR="00971246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12752E" w:rsidRPr="00C6609E" w:rsidRDefault="0012752E" w:rsidP="0012752E">
            <w:pPr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  <w:r w:rsidRPr="00C6609E">
              <w:rPr>
                <w:rFonts w:ascii="Arial" w:hAnsi="Arial" w:cs="Arial"/>
                <w:b/>
                <w:szCs w:val="24"/>
              </w:rPr>
              <w:t>3.398,00</w:t>
            </w:r>
            <w:r w:rsidR="00971246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12752E" w:rsidRPr="00C6609E" w:rsidRDefault="00C525C4" w:rsidP="00C525C4">
            <w:pPr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1.649,64</w:t>
            </w:r>
          </w:p>
        </w:tc>
      </w:tr>
      <w:tr w:rsidR="00C6609E" w:rsidRPr="00C6609E" w:rsidTr="000E4743">
        <w:tc>
          <w:tcPr>
            <w:tcW w:w="718" w:type="dxa"/>
            <w:shd w:val="clear" w:color="auto" w:fill="A6A6A6" w:themeFill="background1" w:themeFillShade="A6"/>
          </w:tcPr>
          <w:p w:rsidR="0012752E" w:rsidRPr="00C6609E" w:rsidRDefault="0012752E" w:rsidP="0012752E">
            <w:pPr>
              <w:numPr>
                <w:ilvl w:val="0"/>
                <w:numId w:val="7"/>
              </w:numPr>
              <w:spacing w:before="0" w:after="0" w:line="240" w:lineRule="auto"/>
              <w:contextualSpacing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22" w:type="dxa"/>
          </w:tcPr>
          <w:p w:rsidR="0012752E" w:rsidRPr="00C6609E" w:rsidRDefault="0012752E" w:rsidP="0012752E">
            <w:pPr>
              <w:spacing w:before="0" w:after="0"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C6609E">
              <w:rPr>
                <w:rFonts w:ascii="Arial" w:hAnsi="Arial" w:cs="Arial"/>
                <w:szCs w:val="24"/>
              </w:rPr>
              <w:t>Predrag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Šušić</w:t>
            </w:r>
            <w:proofErr w:type="spellEnd"/>
          </w:p>
        </w:tc>
        <w:tc>
          <w:tcPr>
            <w:tcW w:w="1710" w:type="dxa"/>
          </w:tcPr>
          <w:p w:rsidR="0012752E" w:rsidRPr="00C6609E" w:rsidRDefault="0012752E" w:rsidP="0012752E">
            <w:pPr>
              <w:spacing w:before="0" w:after="0"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C6609E">
              <w:rPr>
                <w:rFonts w:ascii="Arial" w:hAnsi="Arial" w:cs="Arial"/>
                <w:szCs w:val="24"/>
              </w:rPr>
              <w:t>Knjiga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“Da 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nam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kolo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ne 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zastane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>” –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lastRenderedPageBreak/>
              <w:t>prilog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očuvanju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kulturnog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naslijeđa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Boke</w:t>
            </w:r>
            <w:proofErr w:type="spellEnd"/>
            <w:r w:rsidRPr="00C6609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6609E">
              <w:rPr>
                <w:rFonts w:ascii="Arial" w:hAnsi="Arial" w:cs="Arial"/>
                <w:szCs w:val="24"/>
              </w:rPr>
              <w:t>Kotorske</w:t>
            </w:r>
            <w:proofErr w:type="spellEnd"/>
          </w:p>
        </w:tc>
        <w:tc>
          <w:tcPr>
            <w:tcW w:w="1130" w:type="dxa"/>
          </w:tcPr>
          <w:p w:rsidR="0012752E" w:rsidRPr="00C6609E" w:rsidRDefault="0012752E" w:rsidP="0012752E">
            <w:pPr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C6609E">
              <w:rPr>
                <w:rFonts w:ascii="Arial" w:hAnsi="Arial" w:cs="Arial"/>
                <w:szCs w:val="24"/>
              </w:rPr>
              <w:lastRenderedPageBreak/>
              <w:t>27</w:t>
            </w:r>
          </w:p>
        </w:tc>
        <w:tc>
          <w:tcPr>
            <w:tcW w:w="1750" w:type="dxa"/>
          </w:tcPr>
          <w:p w:rsidR="0012752E" w:rsidRPr="00C6609E" w:rsidRDefault="0012752E" w:rsidP="0012752E">
            <w:pPr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C6609E">
              <w:rPr>
                <w:rFonts w:ascii="Arial" w:hAnsi="Arial" w:cs="Arial"/>
                <w:szCs w:val="24"/>
              </w:rPr>
              <w:t>8.000,00</w:t>
            </w:r>
            <w:r w:rsidR="00971246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12752E" w:rsidRPr="00C6609E" w:rsidRDefault="0012752E" w:rsidP="0012752E">
            <w:pPr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  <w:r w:rsidRPr="00C6609E">
              <w:rPr>
                <w:rFonts w:ascii="Arial" w:hAnsi="Arial" w:cs="Arial"/>
                <w:b/>
                <w:szCs w:val="24"/>
              </w:rPr>
              <w:t>4.000,00</w:t>
            </w:r>
            <w:r w:rsidR="00971246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12752E" w:rsidRPr="00C6609E" w:rsidRDefault="00C525C4" w:rsidP="0012752E">
            <w:pPr>
              <w:spacing w:before="0"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1.629,72</w:t>
            </w:r>
          </w:p>
        </w:tc>
      </w:tr>
      <w:tr w:rsidR="0012752E" w:rsidRPr="00C6609E" w:rsidTr="001126E0">
        <w:tc>
          <w:tcPr>
            <w:tcW w:w="6930" w:type="dxa"/>
            <w:gridSpan w:val="5"/>
            <w:shd w:val="clear" w:color="auto" w:fill="A6A6A6" w:themeFill="background1" w:themeFillShade="A6"/>
          </w:tcPr>
          <w:p w:rsidR="0012752E" w:rsidRPr="00C6609E" w:rsidRDefault="0012752E" w:rsidP="0012752E">
            <w:pPr>
              <w:spacing w:before="0" w:after="0" w:line="240" w:lineRule="auto"/>
              <w:jc w:val="right"/>
              <w:rPr>
                <w:rFonts w:ascii="Arial" w:hAnsi="Arial" w:cs="Arial"/>
                <w:b/>
                <w:color w:val="FF0000"/>
                <w:szCs w:val="24"/>
              </w:rPr>
            </w:pPr>
            <w:r w:rsidRPr="00C6609E">
              <w:rPr>
                <w:rFonts w:ascii="Arial" w:hAnsi="Arial" w:cs="Arial"/>
                <w:b/>
                <w:szCs w:val="24"/>
              </w:rPr>
              <w:lastRenderedPageBreak/>
              <w:t>UKUPNO: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:rsidR="0012752E" w:rsidRPr="00C6609E" w:rsidRDefault="00E73872" w:rsidP="0012752E">
            <w:pPr>
              <w:spacing w:before="0" w:after="0" w:line="240" w:lineRule="auto"/>
              <w:rPr>
                <w:rFonts w:ascii="Arial" w:hAnsi="Arial" w:cs="Arial"/>
                <w:b/>
                <w:color w:val="FF0000"/>
                <w:szCs w:val="24"/>
              </w:rPr>
            </w:pPr>
            <w:r w:rsidRPr="00C6609E">
              <w:rPr>
                <w:rFonts w:ascii="Arial" w:hAnsi="Arial" w:cs="Arial"/>
                <w:b/>
                <w:szCs w:val="24"/>
              </w:rPr>
              <w:t>9.673,00</w:t>
            </w:r>
          </w:p>
        </w:tc>
        <w:tc>
          <w:tcPr>
            <w:tcW w:w="1260" w:type="dxa"/>
          </w:tcPr>
          <w:p w:rsidR="0012752E" w:rsidRPr="00C6609E" w:rsidRDefault="00BE3E8F" w:rsidP="00C525C4">
            <w:pPr>
              <w:spacing w:before="0" w:after="0" w:line="240" w:lineRule="auto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</w:t>
            </w:r>
            <w:r w:rsidR="00C525C4">
              <w:rPr>
                <w:rFonts w:ascii="Arial" w:hAnsi="Arial" w:cs="Arial"/>
                <w:b/>
                <w:szCs w:val="24"/>
              </w:rPr>
              <w:t>999,62</w:t>
            </w:r>
          </w:p>
        </w:tc>
      </w:tr>
    </w:tbl>
    <w:p w:rsidR="0012752E" w:rsidRPr="001126E0" w:rsidRDefault="001126E0" w:rsidP="001126E0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1126E0">
        <w:rPr>
          <w:rFonts w:ascii="Arial" w:hAnsi="Arial" w:cs="Arial"/>
          <w:szCs w:val="24"/>
        </w:rPr>
        <w:t xml:space="preserve">Međusobna prava i obaveze </w:t>
      </w:r>
      <w:r w:rsidR="00C63BC0">
        <w:rPr>
          <w:rFonts w:ascii="Arial" w:hAnsi="Arial" w:cs="Arial"/>
          <w:szCs w:val="24"/>
        </w:rPr>
        <w:t>preciziraće se Ugovorom o sufinansiranju projek</w:t>
      </w:r>
      <w:r w:rsidRPr="001126E0">
        <w:rPr>
          <w:rFonts w:ascii="Arial" w:hAnsi="Arial" w:cs="Arial"/>
          <w:szCs w:val="24"/>
        </w:rPr>
        <w:t>ta kojeg  na osnovu člana 18 Odluke zaklučuju Predsjednik opštine i uče</w:t>
      </w:r>
      <w:r w:rsidR="007E6A66">
        <w:rPr>
          <w:rFonts w:ascii="Arial" w:hAnsi="Arial" w:cs="Arial"/>
          <w:szCs w:val="24"/>
        </w:rPr>
        <w:t>s</w:t>
      </w:r>
      <w:r w:rsidRPr="001126E0">
        <w:rPr>
          <w:rFonts w:ascii="Arial" w:hAnsi="Arial" w:cs="Arial"/>
          <w:szCs w:val="24"/>
        </w:rPr>
        <w:t>nik konkursa kojem su odobrena sredstva.</w:t>
      </w:r>
    </w:p>
    <w:p w:rsidR="001126E0" w:rsidRPr="001126E0" w:rsidRDefault="001126E0" w:rsidP="001126E0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1126E0">
        <w:rPr>
          <w:rFonts w:ascii="Arial" w:hAnsi="Arial" w:cs="Arial"/>
          <w:szCs w:val="24"/>
        </w:rPr>
        <w:t>Odluka  će biti objavljena na oglasnoj tabli i web stranici Opštine Tivat i Lokalnom javnom emiteru-Radio Tivat.</w:t>
      </w:r>
    </w:p>
    <w:p w:rsidR="001A4F2B" w:rsidRPr="00C6609E" w:rsidRDefault="001A4F2B" w:rsidP="007F09F0">
      <w:pPr>
        <w:rPr>
          <w:rFonts w:ascii="Arial" w:hAnsi="Arial" w:cs="Arial"/>
          <w:b/>
          <w:szCs w:val="24"/>
        </w:rPr>
      </w:pPr>
    </w:p>
    <w:p w:rsidR="0004386D" w:rsidRPr="00C6609E" w:rsidRDefault="007F09F0" w:rsidP="007F09F0">
      <w:pPr>
        <w:jc w:val="center"/>
        <w:rPr>
          <w:rFonts w:ascii="Arial" w:hAnsi="Arial" w:cs="Arial"/>
          <w:b/>
          <w:szCs w:val="24"/>
        </w:rPr>
      </w:pPr>
      <w:r w:rsidRPr="00C6609E">
        <w:rPr>
          <w:rFonts w:ascii="Arial" w:hAnsi="Arial" w:cs="Arial"/>
          <w:b/>
          <w:szCs w:val="24"/>
        </w:rPr>
        <w:t>Obrazloženje</w:t>
      </w:r>
    </w:p>
    <w:p w:rsidR="007F09F0" w:rsidRPr="00C6609E" w:rsidRDefault="007F09F0" w:rsidP="007F09F0">
      <w:pPr>
        <w:rPr>
          <w:rFonts w:ascii="Arial" w:hAnsi="Arial" w:cs="Arial"/>
          <w:bCs/>
          <w:szCs w:val="24"/>
          <w:lang w:val="hr-HR"/>
        </w:rPr>
      </w:pPr>
      <w:r w:rsidRPr="00C6609E">
        <w:rPr>
          <w:rFonts w:ascii="Arial" w:hAnsi="Arial" w:cs="Arial"/>
          <w:szCs w:val="24"/>
        </w:rPr>
        <w:t xml:space="preserve">Odlukom o kriterijumima, načinu i postupku raspodjele sredstava za izdavačku djelatnost </w:t>
      </w:r>
      <w:r w:rsidRPr="00C6609E">
        <w:rPr>
          <w:rFonts w:ascii="Arial" w:hAnsi="Arial" w:cs="Arial"/>
          <w:bCs/>
          <w:szCs w:val="24"/>
          <w:lang w:val="hr-HR"/>
        </w:rPr>
        <w:t>(„Službeni list Crne Gore-opštinski propisi“, br.019/19 od 13.05.2019, 009/20 od 04.03.2020), a u skladu sa Budžetom Opštine Tivat – Sekretarijata za kulturu i društvene djelatnosti, za sufinansiranje izdavačke djelatnosti za 2020. godinu predviđen je  iznos od 5.000,00 €</w:t>
      </w:r>
      <w:r w:rsidR="00DE2BD2" w:rsidRPr="00C6609E">
        <w:rPr>
          <w:rFonts w:ascii="Arial" w:hAnsi="Arial" w:cs="Arial"/>
          <w:bCs/>
          <w:szCs w:val="24"/>
          <w:lang w:val="hr-HR"/>
        </w:rPr>
        <w:t xml:space="preserve"> </w:t>
      </w:r>
      <w:r w:rsidR="005109F6" w:rsidRPr="00C6609E">
        <w:rPr>
          <w:rFonts w:ascii="Arial" w:hAnsi="Arial" w:cs="Arial"/>
          <w:bCs/>
          <w:szCs w:val="24"/>
          <w:lang w:val="hr-HR"/>
        </w:rPr>
        <w:t>(pethiljadaeura).</w:t>
      </w:r>
    </w:p>
    <w:p w:rsidR="009E488D" w:rsidRPr="00C6609E" w:rsidRDefault="009E488D" w:rsidP="007F09F0">
      <w:pPr>
        <w:rPr>
          <w:rFonts w:ascii="Arial" w:hAnsi="Arial" w:cs="Arial"/>
          <w:bCs/>
          <w:szCs w:val="24"/>
          <w:lang w:val="hr-HR"/>
        </w:rPr>
      </w:pPr>
      <w:r w:rsidRPr="00C6609E">
        <w:rPr>
          <w:rFonts w:ascii="Arial" w:hAnsi="Arial" w:cs="Arial"/>
          <w:bCs/>
          <w:szCs w:val="24"/>
          <w:lang w:val="hr-HR"/>
        </w:rPr>
        <w:t xml:space="preserve">Komisija je na sjednici održanoj 27.04.2020. godine </w:t>
      </w:r>
      <w:r w:rsidR="00C6609E">
        <w:rPr>
          <w:rFonts w:ascii="Arial" w:hAnsi="Arial" w:cs="Arial"/>
          <w:bCs/>
          <w:szCs w:val="24"/>
          <w:lang w:val="hr-HR"/>
        </w:rPr>
        <w:t>razmatrala</w:t>
      </w:r>
      <w:r w:rsidRPr="00C6609E">
        <w:rPr>
          <w:rFonts w:ascii="Arial" w:hAnsi="Arial" w:cs="Arial"/>
          <w:bCs/>
          <w:szCs w:val="24"/>
          <w:lang w:val="hr-HR"/>
        </w:rPr>
        <w:t xml:space="preserve"> prijave pristigle na Konkurs koji je raspisan 17.</w:t>
      </w:r>
      <w:r w:rsidR="00AD5A92">
        <w:rPr>
          <w:rFonts w:ascii="Arial" w:hAnsi="Arial" w:cs="Arial"/>
          <w:bCs/>
          <w:szCs w:val="24"/>
          <w:lang w:val="hr-HR"/>
        </w:rPr>
        <w:t>03</w:t>
      </w:r>
      <w:r w:rsidR="00C06723" w:rsidRPr="00C6609E">
        <w:rPr>
          <w:rFonts w:ascii="Arial" w:hAnsi="Arial" w:cs="Arial"/>
          <w:bCs/>
          <w:szCs w:val="24"/>
          <w:lang w:val="hr-HR"/>
        </w:rPr>
        <w:t>.</w:t>
      </w:r>
      <w:r w:rsidR="00C6609E">
        <w:rPr>
          <w:rFonts w:ascii="Arial" w:hAnsi="Arial" w:cs="Arial"/>
          <w:bCs/>
          <w:szCs w:val="24"/>
          <w:lang w:val="hr-HR"/>
        </w:rPr>
        <w:t xml:space="preserve"> a</w:t>
      </w:r>
      <w:r w:rsidRPr="00C6609E">
        <w:rPr>
          <w:rFonts w:ascii="Arial" w:hAnsi="Arial" w:cs="Arial"/>
          <w:bCs/>
          <w:szCs w:val="24"/>
          <w:lang w:val="hr-HR"/>
        </w:rPr>
        <w:t xml:space="preserve"> trajao </w:t>
      </w:r>
      <w:r w:rsidR="00C6609E">
        <w:rPr>
          <w:rFonts w:ascii="Arial" w:hAnsi="Arial" w:cs="Arial"/>
          <w:bCs/>
          <w:szCs w:val="24"/>
          <w:lang w:val="hr-HR"/>
        </w:rPr>
        <w:t>trajao trideset dana</w:t>
      </w:r>
      <w:r w:rsidRPr="00C6609E">
        <w:rPr>
          <w:rFonts w:ascii="Arial" w:hAnsi="Arial" w:cs="Arial"/>
          <w:bCs/>
          <w:szCs w:val="24"/>
          <w:lang w:val="hr-HR"/>
        </w:rPr>
        <w:t xml:space="preserve">. Komisija je konstatovala da je pristiglo pet prijava: </w:t>
      </w:r>
      <w:r w:rsidRPr="00C6609E">
        <w:rPr>
          <w:szCs w:val="24"/>
        </w:rPr>
        <w:t xml:space="preserve"> </w:t>
      </w:r>
      <w:r w:rsidRPr="00C6609E">
        <w:rPr>
          <w:rFonts w:ascii="Arial" w:hAnsi="Arial" w:cs="Arial"/>
          <w:bCs/>
          <w:szCs w:val="24"/>
          <w:lang w:val="hr-HR"/>
        </w:rPr>
        <w:t xml:space="preserve">NVO “Književna omladina Tivta”, Predrag Šušić, Puzzle d.o.o., NVU “Maškarada” i Jedriličarski klub “Delfin”. Nakon </w:t>
      </w:r>
      <w:r w:rsidR="009B5F9B">
        <w:rPr>
          <w:rFonts w:ascii="Arial" w:hAnsi="Arial" w:cs="Arial"/>
          <w:bCs/>
          <w:szCs w:val="24"/>
          <w:lang w:val="hr-HR"/>
        </w:rPr>
        <w:t>uvida u dostavljenu dokumentaciju</w:t>
      </w:r>
      <w:r w:rsidRPr="00C6609E">
        <w:rPr>
          <w:rFonts w:ascii="Arial" w:hAnsi="Arial" w:cs="Arial"/>
          <w:bCs/>
          <w:szCs w:val="24"/>
          <w:lang w:val="hr-HR"/>
        </w:rPr>
        <w:t xml:space="preserve"> Komisija je konstatovala da Jedriličarski klub „Delfin“ nije prošao administrativnu provjeru, </w:t>
      </w:r>
      <w:r w:rsidR="00293834">
        <w:rPr>
          <w:rFonts w:ascii="Arial" w:hAnsi="Arial" w:cs="Arial"/>
          <w:bCs/>
          <w:szCs w:val="24"/>
          <w:lang w:val="hr-HR"/>
        </w:rPr>
        <w:t>iz razloga nepotpune dokumentacije</w:t>
      </w:r>
      <w:r w:rsidRPr="00C6609E">
        <w:rPr>
          <w:rFonts w:ascii="Arial" w:hAnsi="Arial" w:cs="Arial"/>
          <w:bCs/>
          <w:szCs w:val="24"/>
          <w:lang w:val="hr-HR"/>
        </w:rPr>
        <w:t>, te nije mogao biti predmet daljeg razmatranja.</w:t>
      </w:r>
    </w:p>
    <w:p w:rsidR="00431699" w:rsidRDefault="009E488D" w:rsidP="007F09F0">
      <w:pPr>
        <w:rPr>
          <w:rFonts w:ascii="Arial" w:hAnsi="Arial" w:cs="Arial"/>
          <w:bCs/>
          <w:szCs w:val="24"/>
          <w:lang w:val="hr-HR"/>
        </w:rPr>
      </w:pPr>
      <w:r w:rsidRPr="00C6609E">
        <w:rPr>
          <w:rFonts w:ascii="Arial" w:hAnsi="Arial" w:cs="Arial"/>
          <w:bCs/>
          <w:szCs w:val="24"/>
          <w:lang w:val="hr-HR"/>
        </w:rPr>
        <w:t>Komisija je 04.</w:t>
      </w:r>
      <w:r w:rsidR="003263ED" w:rsidRPr="00C6609E">
        <w:rPr>
          <w:rFonts w:ascii="Arial" w:hAnsi="Arial" w:cs="Arial"/>
          <w:bCs/>
          <w:szCs w:val="24"/>
          <w:lang w:val="hr-HR"/>
        </w:rPr>
        <w:t>05.2020.godine</w:t>
      </w:r>
      <w:r w:rsidRPr="00C6609E">
        <w:rPr>
          <w:rFonts w:ascii="Arial" w:hAnsi="Arial" w:cs="Arial"/>
          <w:bCs/>
          <w:szCs w:val="24"/>
          <w:lang w:val="hr-HR"/>
        </w:rPr>
        <w:t xml:space="preserve"> bodovala preostale projekte, od kojih tri </w:t>
      </w:r>
      <w:r w:rsidR="00431699">
        <w:rPr>
          <w:rFonts w:ascii="Arial" w:hAnsi="Arial" w:cs="Arial"/>
          <w:bCs/>
          <w:szCs w:val="24"/>
          <w:lang w:val="hr-HR"/>
        </w:rPr>
        <w:t>od četiri</w:t>
      </w:r>
      <w:r w:rsidRPr="00C6609E">
        <w:rPr>
          <w:rFonts w:ascii="Arial" w:hAnsi="Arial" w:cs="Arial"/>
          <w:bCs/>
          <w:szCs w:val="24"/>
          <w:lang w:val="hr-HR"/>
        </w:rPr>
        <w:t xml:space="preserve"> ispunjavaju kriterijume navedene u Odluci i Konkursu</w:t>
      </w:r>
      <w:r w:rsidR="00431699">
        <w:rPr>
          <w:rFonts w:ascii="Arial" w:hAnsi="Arial" w:cs="Arial"/>
          <w:bCs/>
          <w:szCs w:val="24"/>
          <w:lang w:val="hr-HR"/>
        </w:rPr>
        <w:t xml:space="preserve"> (</w:t>
      </w:r>
      <w:r w:rsidR="00431699" w:rsidRPr="00431699">
        <w:rPr>
          <w:rFonts w:ascii="Arial" w:hAnsi="Arial" w:cs="Arial"/>
          <w:bCs/>
          <w:szCs w:val="24"/>
          <w:lang w:val="hr-HR"/>
        </w:rPr>
        <w:t>umjetnički kvalitet i značaj za razvoj crnogorske i lokalne kulture; međunarodna afirmacija crnogorske kulture; publikacija od značaja za Tivat i Boku Kotorsku i usklađenost predloženog iznosa sredstava sa planiranim aktivnostima projekta</w:t>
      </w:r>
      <w:r w:rsidR="00431699">
        <w:rPr>
          <w:rFonts w:ascii="Arial" w:hAnsi="Arial" w:cs="Arial"/>
          <w:bCs/>
          <w:szCs w:val="24"/>
          <w:lang w:val="hr-HR"/>
        </w:rPr>
        <w:t xml:space="preserve">): </w:t>
      </w:r>
      <w:r w:rsidRPr="00C6609E">
        <w:rPr>
          <w:rFonts w:ascii="Arial" w:hAnsi="Arial" w:cs="Arial"/>
          <w:bCs/>
          <w:szCs w:val="24"/>
          <w:lang w:val="hr-HR"/>
        </w:rPr>
        <w:t>NVU „Maškarada“ , „Puzzle d.o.</w:t>
      </w:r>
      <w:r w:rsidR="00D71885" w:rsidRPr="00C6609E">
        <w:rPr>
          <w:rFonts w:ascii="Arial" w:hAnsi="Arial" w:cs="Arial"/>
          <w:bCs/>
          <w:szCs w:val="24"/>
          <w:lang w:val="hr-HR"/>
        </w:rPr>
        <w:t>o. i projekat P</w:t>
      </w:r>
      <w:r w:rsidR="00431699">
        <w:rPr>
          <w:rFonts w:ascii="Arial" w:hAnsi="Arial" w:cs="Arial"/>
          <w:bCs/>
          <w:szCs w:val="24"/>
          <w:lang w:val="hr-HR"/>
        </w:rPr>
        <w:t>redraga Šušića</w:t>
      </w:r>
      <w:r w:rsidRPr="00C6609E">
        <w:rPr>
          <w:rFonts w:ascii="Arial" w:hAnsi="Arial" w:cs="Arial"/>
          <w:bCs/>
          <w:szCs w:val="24"/>
          <w:lang w:val="hr-HR"/>
        </w:rPr>
        <w:t xml:space="preserve">. </w:t>
      </w:r>
    </w:p>
    <w:p w:rsidR="00431699" w:rsidRPr="00431699" w:rsidRDefault="00431699" w:rsidP="007F09F0">
      <w:pPr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Projekat</w:t>
      </w:r>
      <w:r w:rsidR="00D71885" w:rsidRPr="00C6609E">
        <w:rPr>
          <w:rFonts w:ascii="Arial" w:hAnsi="Arial" w:cs="Arial"/>
          <w:bCs/>
          <w:szCs w:val="24"/>
          <w:lang w:val="hr-HR"/>
        </w:rPr>
        <w:t xml:space="preserve"> –reprint izdanje</w:t>
      </w:r>
      <w:r w:rsidR="003263ED" w:rsidRPr="00C6609E">
        <w:rPr>
          <w:rFonts w:ascii="Arial" w:hAnsi="Arial" w:cs="Arial"/>
          <w:bCs/>
          <w:szCs w:val="24"/>
          <w:lang w:val="hr-HR"/>
        </w:rPr>
        <w:t xml:space="preserve"> </w:t>
      </w:r>
      <w:r w:rsidR="00D71885" w:rsidRPr="00431699">
        <w:rPr>
          <w:rFonts w:ascii="Arial" w:hAnsi="Arial" w:cs="Arial"/>
          <w:bCs/>
          <w:szCs w:val="24"/>
          <w:lang w:val="hr-HR"/>
        </w:rPr>
        <w:t>slikovnice-bojanke za djecu „Štedi jer vrijedi“</w:t>
      </w:r>
      <w:r w:rsidRPr="00431699">
        <w:rPr>
          <w:rFonts w:ascii="Arial" w:hAnsi="Arial" w:cs="Arial"/>
          <w:bCs/>
          <w:szCs w:val="24"/>
          <w:lang w:val="hr-HR"/>
        </w:rPr>
        <w:t xml:space="preserve"> NVO „Književna omladina Tivta“, </w:t>
      </w:r>
      <w:r w:rsidR="003E1F50" w:rsidRPr="00431699">
        <w:rPr>
          <w:rFonts w:ascii="Arial" w:hAnsi="Arial" w:cs="Arial"/>
          <w:bCs/>
          <w:szCs w:val="24"/>
          <w:lang w:val="hr-HR"/>
        </w:rPr>
        <w:t xml:space="preserve">a koji se tiče značaja štednje vode, </w:t>
      </w:r>
      <w:r w:rsidRPr="00431699">
        <w:rPr>
          <w:rFonts w:ascii="Arial" w:hAnsi="Arial" w:cs="Arial"/>
          <w:bCs/>
          <w:szCs w:val="24"/>
          <w:lang w:val="hr-HR"/>
        </w:rPr>
        <w:t xml:space="preserve">obzirom da je zadovoljio administrativnu proceduru bodovan je (prosjek bodova 15,33), ali, kako </w:t>
      </w:r>
      <w:r>
        <w:rPr>
          <w:rFonts w:ascii="Arial" w:hAnsi="Arial" w:cs="Arial"/>
          <w:bCs/>
          <w:szCs w:val="24"/>
          <w:lang w:val="hr-HR"/>
        </w:rPr>
        <w:t>nije publikacija od značaja za kulturu nije mogao biti predmet raspodjele sredstava.</w:t>
      </w:r>
    </w:p>
    <w:p w:rsidR="00315337" w:rsidRPr="00C6609E" w:rsidRDefault="00DD4547" w:rsidP="00315337">
      <w:pPr>
        <w:rPr>
          <w:rFonts w:ascii="Arial" w:hAnsi="Arial" w:cs="Arial"/>
          <w:bCs/>
          <w:szCs w:val="24"/>
          <w:lang w:val="hr-HR"/>
        </w:rPr>
      </w:pPr>
      <w:r w:rsidRPr="00C6609E">
        <w:rPr>
          <w:rFonts w:ascii="Arial" w:hAnsi="Arial" w:cs="Arial"/>
          <w:bCs/>
          <w:szCs w:val="24"/>
          <w:lang w:val="hr-HR"/>
        </w:rPr>
        <w:t>Nevladine org</w:t>
      </w:r>
      <w:r w:rsidR="008A51A4" w:rsidRPr="00C6609E">
        <w:rPr>
          <w:rFonts w:ascii="Arial" w:hAnsi="Arial" w:cs="Arial"/>
          <w:bCs/>
          <w:szCs w:val="24"/>
          <w:lang w:val="hr-HR"/>
        </w:rPr>
        <w:t>anizacije, fizička i pravna lic</w:t>
      </w:r>
      <w:r w:rsidRPr="00C6609E">
        <w:rPr>
          <w:rFonts w:ascii="Arial" w:hAnsi="Arial" w:cs="Arial"/>
          <w:bCs/>
          <w:szCs w:val="24"/>
          <w:lang w:val="hr-HR"/>
        </w:rPr>
        <w:t>a sa teritorije Crne Gore koji ispunjavaju kriterijume, na osnovu broja bodova koje je utvrdila Komisija za raspodjelu sredstava za izdavačku djelatnost, a koji su dobili</w:t>
      </w:r>
      <w:r w:rsidR="00E156D2" w:rsidRPr="00C6609E">
        <w:rPr>
          <w:rFonts w:ascii="Arial" w:hAnsi="Arial" w:cs="Arial"/>
          <w:bCs/>
          <w:szCs w:val="24"/>
          <w:lang w:val="hr-HR"/>
        </w:rPr>
        <w:t xml:space="preserve"> sred</w:t>
      </w:r>
      <w:r w:rsidR="00DE6827" w:rsidRPr="00C6609E">
        <w:rPr>
          <w:rFonts w:ascii="Arial" w:hAnsi="Arial" w:cs="Arial"/>
          <w:bCs/>
          <w:szCs w:val="24"/>
          <w:lang w:val="hr-HR"/>
        </w:rPr>
        <w:t>stv</w:t>
      </w:r>
      <w:r w:rsidR="00E156D2" w:rsidRPr="00C6609E">
        <w:rPr>
          <w:rFonts w:ascii="Arial" w:hAnsi="Arial" w:cs="Arial"/>
          <w:bCs/>
          <w:szCs w:val="24"/>
          <w:lang w:val="hr-HR"/>
        </w:rPr>
        <w:t>a</w:t>
      </w:r>
      <w:r w:rsidRPr="00C6609E">
        <w:rPr>
          <w:rFonts w:ascii="Arial" w:hAnsi="Arial" w:cs="Arial"/>
          <w:bCs/>
          <w:szCs w:val="24"/>
          <w:lang w:val="hr-HR"/>
        </w:rPr>
        <w:t xml:space="preserve">  su</w:t>
      </w:r>
      <w:r w:rsidR="00E156D2" w:rsidRPr="00C6609E">
        <w:rPr>
          <w:rFonts w:ascii="Arial" w:hAnsi="Arial" w:cs="Arial"/>
          <w:bCs/>
          <w:szCs w:val="24"/>
          <w:lang w:val="hr-HR"/>
        </w:rPr>
        <w:t>:</w:t>
      </w:r>
    </w:p>
    <w:p w:rsidR="00E156D2" w:rsidRPr="00971246" w:rsidRDefault="00971246" w:rsidP="00CE2D43">
      <w:pPr>
        <w:pStyle w:val="NoSpacing"/>
        <w:numPr>
          <w:ilvl w:val="0"/>
          <w:numId w:val="8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Projekat- </w:t>
      </w:r>
      <w:r w:rsidR="00E156D2" w:rsidRPr="00315337">
        <w:rPr>
          <w:rFonts w:ascii="Arial" w:hAnsi="Arial" w:cs="Arial"/>
          <w:b/>
          <w:lang w:val="hr-HR"/>
        </w:rPr>
        <w:t xml:space="preserve">monografska publikacija „Tradicija maškaranja u Tivtu“  NVU </w:t>
      </w:r>
      <w:r>
        <w:rPr>
          <w:rFonts w:ascii="Arial" w:hAnsi="Arial" w:cs="Arial"/>
          <w:b/>
          <w:lang w:val="hr-HR"/>
        </w:rPr>
        <w:t xml:space="preserve">„Maškarada“, </w:t>
      </w:r>
      <w:r w:rsidR="00C525C4" w:rsidRPr="00971246">
        <w:rPr>
          <w:rFonts w:ascii="Arial" w:hAnsi="Arial" w:cs="Arial"/>
          <w:lang w:val="hr-HR"/>
        </w:rPr>
        <w:t xml:space="preserve">podržan je </w:t>
      </w:r>
      <w:r w:rsidR="00C525C4" w:rsidRPr="00971246">
        <w:rPr>
          <w:rFonts w:ascii="Arial" w:hAnsi="Arial" w:cs="Arial"/>
          <w:b/>
          <w:lang w:val="hr-HR"/>
        </w:rPr>
        <w:t xml:space="preserve">sa </w:t>
      </w:r>
      <w:r w:rsidR="00C525C4" w:rsidRPr="00971246">
        <w:rPr>
          <w:rFonts w:ascii="Arial" w:hAnsi="Arial" w:cs="Arial"/>
          <w:b/>
          <w:szCs w:val="24"/>
        </w:rPr>
        <w:t>1.720,26</w:t>
      </w:r>
      <w:r>
        <w:rPr>
          <w:rFonts w:ascii="Arial" w:hAnsi="Arial" w:cs="Arial"/>
          <w:b/>
          <w:szCs w:val="24"/>
        </w:rPr>
        <w:t xml:space="preserve"> </w:t>
      </w:r>
      <w:r w:rsidR="00315337" w:rsidRPr="00971246">
        <w:rPr>
          <w:rFonts w:ascii="Arial" w:hAnsi="Arial" w:cs="Arial"/>
          <w:b/>
          <w:lang w:val="hr-HR"/>
        </w:rPr>
        <w:t>€</w:t>
      </w:r>
      <w:r w:rsidR="00E156D2" w:rsidRPr="00971246">
        <w:rPr>
          <w:rFonts w:ascii="Arial" w:hAnsi="Arial" w:cs="Arial"/>
          <w:lang w:val="hr-HR"/>
        </w:rPr>
        <w:t xml:space="preserve"> </w:t>
      </w:r>
      <w:r w:rsidRPr="00971246">
        <w:rPr>
          <w:rFonts w:ascii="Arial" w:hAnsi="Arial" w:cs="Arial"/>
          <w:b/>
          <w:lang w:val="hr-HR"/>
        </w:rPr>
        <w:t xml:space="preserve">(hiljadusedamstodvadeseteurašest </w:t>
      </w:r>
      <w:r w:rsidR="00C525C4" w:rsidRPr="00971246">
        <w:rPr>
          <w:rFonts w:ascii="Arial" w:hAnsi="Arial" w:cs="Arial"/>
          <w:b/>
          <w:lang w:val="hr-HR"/>
        </w:rPr>
        <w:t>centi</w:t>
      </w:r>
      <w:r w:rsidR="00315337" w:rsidRPr="00971246">
        <w:rPr>
          <w:rFonts w:ascii="Arial" w:hAnsi="Arial" w:cs="Arial"/>
          <w:b/>
          <w:lang w:val="hr-HR"/>
        </w:rPr>
        <w:t>).</w:t>
      </w:r>
      <w:r w:rsidR="00315337" w:rsidRPr="00971246">
        <w:rPr>
          <w:rFonts w:ascii="Arial" w:hAnsi="Arial" w:cs="Arial"/>
          <w:lang w:val="hr-HR"/>
        </w:rPr>
        <w:t xml:space="preserve"> </w:t>
      </w:r>
      <w:r w:rsidR="00DE6827" w:rsidRPr="00971246">
        <w:rPr>
          <w:rFonts w:ascii="Arial" w:hAnsi="Arial" w:cs="Arial"/>
          <w:lang w:val="hr-HR"/>
        </w:rPr>
        <w:t>Realizacijom nav</w:t>
      </w:r>
      <w:r w:rsidR="00315337" w:rsidRPr="00971246">
        <w:rPr>
          <w:rFonts w:ascii="Arial" w:hAnsi="Arial" w:cs="Arial"/>
          <w:lang w:val="hr-HR"/>
        </w:rPr>
        <w:t>e</w:t>
      </w:r>
      <w:r w:rsidR="00DE6827" w:rsidRPr="00971246">
        <w:rPr>
          <w:rFonts w:ascii="Arial" w:hAnsi="Arial" w:cs="Arial"/>
          <w:lang w:val="hr-HR"/>
        </w:rPr>
        <w:t>d</w:t>
      </w:r>
      <w:r w:rsidR="00E156D2" w:rsidRPr="00971246">
        <w:rPr>
          <w:rFonts w:ascii="Arial" w:hAnsi="Arial" w:cs="Arial"/>
          <w:lang w:val="hr-HR"/>
        </w:rPr>
        <w:t>enog projekta doprinijeć</w:t>
      </w:r>
      <w:r w:rsidR="00623246" w:rsidRPr="00971246">
        <w:rPr>
          <w:rFonts w:ascii="Arial" w:hAnsi="Arial" w:cs="Arial"/>
          <w:lang w:val="hr-HR"/>
        </w:rPr>
        <w:t>e se značaju kultur</w:t>
      </w:r>
      <w:r w:rsidR="00E156D2" w:rsidRPr="00971246">
        <w:rPr>
          <w:rFonts w:ascii="Arial" w:hAnsi="Arial" w:cs="Arial"/>
          <w:lang w:val="hr-HR"/>
        </w:rPr>
        <w:t>nog naslijeđa Tivta i Crne Gore u navedenoj oblasti, te će služiti za promociju karnevalske kulture i tradicije, kako među stanovnicima Tivta, Crne Gore, tako i šire.</w:t>
      </w:r>
    </w:p>
    <w:p w:rsidR="00E156D2" w:rsidRPr="00C6609E" w:rsidRDefault="00E156D2" w:rsidP="0098718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Cs w:val="24"/>
          <w:lang w:val="hr-HR"/>
        </w:rPr>
      </w:pPr>
      <w:r w:rsidRPr="00C6609E">
        <w:rPr>
          <w:rFonts w:ascii="Arial" w:hAnsi="Arial" w:cs="Arial"/>
          <w:bCs/>
          <w:szCs w:val="24"/>
          <w:lang w:val="hr-HR"/>
        </w:rPr>
        <w:lastRenderedPageBreak/>
        <w:t>Projekat –</w:t>
      </w:r>
      <w:r w:rsidRPr="00C6609E">
        <w:rPr>
          <w:rFonts w:ascii="Arial" w:hAnsi="Arial" w:cs="Arial"/>
          <w:b/>
          <w:bCs/>
          <w:szCs w:val="24"/>
          <w:lang w:val="hr-HR"/>
        </w:rPr>
        <w:t>monografska publikacija „Lica mog vremena“, Puzzle d.o.o.-</w:t>
      </w:r>
      <w:r w:rsidRPr="00C6609E">
        <w:rPr>
          <w:rFonts w:ascii="Arial" w:hAnsi="Arial" w:cs="Arial"/>
          <w:bCs/>
          <w:szCs w:val="24"/>
          <w:lang w:val="hr-HR"/>
        </w:rPr>
        <w:t xml:space="preserve">podržan je  sa </w:t>
      </w:r>
      <w:r w:rsidR="00C525C4">
        <w:rPr>
          <w:rFonts w:ascii="Arial" w:hAnsi="Arial" w:cs="Arial"/>
          <w:b/>
          <w:szCs w:val="24"/>
        </w:rPr>
        <w:t>1.649,64</w:t>
      </w:r>
      <w:r w:rsidR="00413FBC">
        <w:rPr>
          <w:rFonts w:ascii="Arial" w:hAnsi="Arial" w:cs="Arial"/>
          <w:b/>
          <w:bCs/>
          <w:szCs w:val="24"/>
          <w:lang w:val="hr-HR"/>
        </w:rPr>
        <w:t xml:space="preserve">€ </w:t>
      </w:r>
      <w:r w:rsidR="00413FBC" w:rsidRPr="00575732">
        <w:rPr>
          <w:rFonts w:ascii="Arial" w:hAnsi="Arial" w:cs="Arial"/>
          <w:b/>
          <w:bCs/>
          <w:szCs w:val="24"/>
          <w:lang w:val="hr-HR"/>
        </w:rPr>
        <w:t>(hiljadušeststotina</w:t>
      </w:r>
      <w:r w:rsidR="00413FBC">
        <w:rPr>
          <w:rFonts w:ascii="Arial" w:hAnsi="Arial" w:cs="Arial"/>
          <w:b/>
          <w:bCs/>
          <w:szCs w:val="24"/>
          <w:lang w:val="hr-HR"/>
        </w:rPr>
        <w:t xml:space="preserve">četrdesetdeveteurašezdeset </w:t>
      </w:r>
      <w:r w:rsidR="00C525C4">
        <w:rPr>
          <w:rFonts w:ascii="Arial" w:hAnsi="Arial" w:cs="Arial"/>
          <w:b/>
          <w:bCs/>
          <w:szCs w:val="24"/>
          <w:lang w:val="hr-HR"/>
        </w:rPr>
        <w:t>četiricenta</w:t>
      </w:r>
      <w:r w:rsidRPr="00575732">
        <w:rPr>
          <w:rFonts w:ascii="Arial" w:hAnsi="Arial" w:cs="Arial"/>
          <w:b/>
          <w:bCs/>
          <w:szCs w:val="24"/>
          <w:lang w:val="hr-HR"/>
        </w:rPr>
        <w:t>).</w:t>
      </w:r>
      <w:r w:rsidRPr="00C6609E">
        <w:rPr>
          <w:rFonts w:ascii="Arial" w:hAnsi="Arial" w:cs="Arial"/>
          <w:bCs/>
          <w:szCs w:val="24"/>
          <w:lang w:val="hr-HR"/>
        </w:rPr>
        <w:t xml:space="preserve">  Navedena </w:t>
      </w:r>
      <w:r w:rsidR="00A01287" w:rsidRPr="00C6609E">
        <w:rPr>
          <w:rFonts w:ascii="Arial" w:hAnsi="Arial" w:cs="Arial"/>
          <w:bCs/>
          <w:szCs w:val="24"/>
          <w:lang w:val="hr-HR"/>
        </w:rPr>
        <w:t xml:space="preserve">publikacija </w:t>
      </w:r>
      <w:r w:rsidRPr="00C6609E">
        <w:rPr>
          <w:rFonts w:ascii="Arial" w:hAnsi="Arial" w:cs="Arial"/>
          <w:bCs/>
          <w:szCs w:val="24"/>
          <w:lang w:val="hr-HR"/>
        </w:rPr>
        <w:t xml:space="preserve">kroz seriju portreta poznatih Tivćana, njihovih životnih storija i tekstova tivatskih intelektualaca, pisaca, umjetnika, govori o transformaciji </w:t>
      </w:r>
      <w:r w:rsidR="00C571FE" w:rsidRPr="00C6609E">
        <w:rPr>
          <w:rFonts w:ascii="Arial" w:hAnsi="Arial" w:cs="Arial"/>
          <w:bCs/>
          <w:szCs w:val="24"/>
          <w:lang w:val="hr-HR"/>
        </w:rPr>
        <w:t>Tivta</w:t>
      </w:r>
      <w:r w:rsidRPr="00C6609E">
        <w:rPr>
          <w:rFonts w:ascii="Arial" w:hAnsi="Arial" w:cs="Arial"/>
          <w:bCs/>
          <w:szCs w:val="24"/>
          <w:lang w:val="hr-HR"/>
        </w:rPr>
        <w:t xml:space="preserve"> i konstatuje novonastali društveni, socio- ekonomski, politički i kulturni ambijent</w:t>
      </w:r>
      <w:r w:rsidRPr="00C6609E">
        <w:rPr>
          <w:rFonts w:ascii="Arial" w:hAnsi="Arial" w:cs="Arial"/>
          <w:b/>
          <w:bCs/>
          <w:szCs w:val="24"/>
          <w:lang w:val="hr-HR"/>
        </w:rPr>
        <w:t>.</w:t>
      </w:r>
    </w:p>
    <w:p w:rsidR="00C571FE" w:rsidRPr="00C6609E" w:rsidRDefault="00C571FE" w:rsidP="00C571FE">
      <w:pPr>
        <w:pStyle w:val="ListParagraph"/>
        <w:numPr>
          <w:ilvl w:val="0"/>
          <w:numId w:val="8"/>
        </w:numPr>
        <w:rPr>
          <w:rFonts w:ascii="Arial" w:hAnsi="Arial" w:cs="Arial"/>
          <w:bCs/>
          <w:szCs w:val="24"/>
          <w:lang w:val="hr-HR"/>
        </w:rPr>
      </w:pPr>
      <w:r w:rsidRPr="00C6609E">
        <w:rPr>
          <w:rFonts w:ascii="Arial" w:hAnsi="Arial" w:cs="Arial"/>
          <w:b/>
          <w:bCs/>
          <w:szCs w:val="24"/>
          <w:lang w:val="hr-HR"/>
        </w:rPr>
        <w:t xml:space="preserve">Knjiga „Da nam kolo ne zastane“ , Predraga Šušića, </w:t>
      </w:r>
      <w:r w:rsidR="00315337">
        <w:rPr>
          <w:rFonts w:ascii="Arial" w:hAnsi="Arial" w:cs="Arial"/>
          <w:bCs/>
          <w:szCs w:val="24"/>
          <w:lang w:val="hr-HR"/>
        </w:rPr>
        <w:t xml:space="preserve">podržana je u iznosu od </w:t>
      </w:r>
      <w:r w:rsidR="00C525C4">
        <w:rPr>
          <w:rFonts w:ascii="Arial" w:hAnsi="Arial" w:cs="Arial"/>
          <w:b/>
          <w:szCs w:val="24"/>
        </w:rPr>
        <w:t>1.629,72</w:t>
      </w:r>
      <w:r w:rsidRPr="00575732">
        <w:rPr>
          <w:rFonts w:ascii="Arial" w:hAnsi="Arial" w:cs="Arial"/>
          <w:b/>
          <w:bCs/>
          <w:szCs w:val="24"/>
          <w:lang w:val="hr-HR"/>
        </w:rPr>
        <w:t>€ (hiljadušeststoti</w:t>
      </w:r>
      <w:r w:rsidR="00B422A4" w:rsidRPr="00575732">
        <w:rPr>
          <w:rFonts w:ascii="Arial" w:hAnsi="Arial" w:cs="Arial"/>
          <w:b/>
          <w:bCs/>
          <w:szCs w:val="24"/>
          <w:lang w:val="hr-HR"/>
        </w:rPr>
        <w:t>na</w:t>
      </w:r>
      <w:r w:rsidR="00E65CE4">
        <w:rPr>
          <w:rFonts w:ascii="Arial" w:hAnsi="Arial" w:cs="Arial"/>
          <w:b/>
          <w:bCs/>
          <w:szCs w:val="24"/>
          <w:lang w:val="hr-HR"/>
        </w:rPr>
        <w:t>dvadesetdeveteura</w:t>
      </w:r>
      <w:r w:rsidR="00C525C4">
        <w:rPr>
          <w:rFonts w:ascii="Arial" w:hAnsi="Arial" w:cs="Arial"/>
          <w:b/>
          <w:bCs/>
          <w:szCs w:val="24"/>
          <w:lang w:val="hr-HR"/>
        </w:rPr>
        <w:t>sedamdesetdvacenta</w:t>
      </w:r>
      <w:r w:rsidR="00B422A4" w:rsidRPr="00575732">
        <w:rPr>
          <w:rFonts w:ascii="Arial" w:hAnsi="Arial" w:cs="Arial"/>
          <w:b/>
          <w:bCs/>
          <w:szCs w:val="24"/>
          <w:lang w:val="hr-HR"/>
        </w:rPr>
        <w:t>)</w:t>
      </w:r>
      <w:r w:rsidR="00B422A4" w:rsidRPr="00C6609E">
        <w:rPr>
          <w:rFonts w:ascii="Arial" w:hAnsi="Arial" w:cs="Arial"/>
          <w:bCs/>
          <w:szCs w:val="24"/>
          <w:lang w:val="hr-HR"/>
        </w:rPr>
        <w:t xml:space="preserve"> namijenjena svima koji se bave radom i prezentacijom narodnih igara, pjesama, nošnji i običaja, pružiće uvid, kroz kritički osvrt na oču</w:t>
      </w:r>
      <w:r w:rsidR="00A01287" w:rsidRPr="00C6609E">
        <w:rPr>
          <w:rFonts w:ascii="Arial" w:hAnsi="Arial" w:cs="Arial"/>
          <w:bCs/>
          <w:szCs w:val="24"/>
          <w:lang w:val="hr-HR"/>
        </w:rPr>
        <w:t>vanje i promociju nematerijalno</w:t>
      </w:r>
      <w:r w:rsidR="00B422A4" w:rsidRPr="00C6609E">
        <w:rPr>
          <w:rFonts w:ascii="Arial" w:hAnsi="Arial" w:cs="Arial"/>
          <w:bCs/>
          <w:szCs w:val="24"/>
          <w:lang w:val="hr-HR"/>
        </w:rPr>
        <w:t>g kulturnog naslijeđa Tivta i Boke Kotorske u različitim segmentima narodne tradicije (igra, pjesma, običaji, nošnje).</w:t>
      </w:r>
    </w:p>
    <w:p w:rsidR="00575732" w:rsidRPr="00C6609E" w:rsidRDefault="00575732" w:rsidP="006B5324">
      <w:pPr>
        <w:rPr>
          <w:rFonts w:ascii="Arial" w:hAnsi="Arial" w:cs="Arial"/>
          <w:bCs/>
          <w:szCs w:val="24"/>
          <w:lang w:val="hr-HR"/>
        </w:rPr>
      </w:pPr>
    </w:p>
    <w:p w:rsidR="0004386D" w:rsidRPr="00C6609E" w:rsidRDefault="0004386D" w:rsidP="000129C8">
      <w:pPr>
        <w:tabs>
          <w:tab w:val="left" w:pos="6930"/>
        </w:tabs>
        <w:spacing w:before="0" w:line="240" w:lineRule="auto"/>
        <w:jc w:val="center"/>
        <w:rPr>
          <w:rFonts w:ascii="Arial" w:hAnsi="Arial" w:cs="Arial"/>
          <w:szCs w:val="24"/>
        </w:rPr>
      </w:pPr>
      <w:r w:rsidRPr="00C6609E">
        <w:rPr>
          <w:rFonts w:ascii="Arial" w:hAnsi="Arial" w:cs="Arial"/>
          <w:szCs w:val="24"/>
        </w:rPr>
        <w:t xml:space="preserve">                                                                                                  </w:t>
      </w:r>
    </w:p>
    <w:p w:rsidR="0004386D" w:rsidRPr="00C6609E" w:rsidRDefault="003602EB" w:rsidP="003602EB">
      <w:pPr>
        <w:spacing w:before="0" w:line="240" w:lineRule="auto"/>
        <w:ind w:firstLine="637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</w:t>
      </w:r>
      <w:r w:rsidR="0004386D" w:rsidRPr="00C6609E">
        <w:rPr>
          <w:rFonts w:ascii="Arial" w:hAnsi="Arial" w:cs="Arial"/>
          <w:b/>
          <w:szCs w:val="24"/>
        </w:rPr>
        <w:t>SEKRETARKA</w:t>
      </w:r>
    </w:p>
    <w:p w:rsidR="0004386D" w:rsidRPr="00C6609E" w:rsidRDefault="0004386D" w:rsidP="0004386D">
      <w:pPr>
        <w:spacing w:before="0" w:line="240" w:lineRule="auto"/>
        <w:ind w:firstLine="6379"/>
        <w:jc w:val="right"/>
        <w:rPr>
          <w:rFonts w:ascii="Arial" w:hAnsi="Arial" w:cs="Arial"/>
          <w:szCs w:val="24"/>
        </w:rPr>
      </w:pPr>
      <w:r w:rsidRPr="00C6609E">
        <w:rPr>
          <w:rFonts w:ascii="Arial" w:hAnsi="Arial" w:cs="Arial"/>
          <w:szCs w:val="24"/>
        </w:rPr>
        <w:t>mr Dubravka Nikčević</w:t>
      </w:r>
    </w:p>
    <w:p w:rsidR="0004386D" w:rsidRPr="00C6609E" w:rsidRDefault="0004386D" w:rsidP="0004386D">
      <w:pPr>
        <w:tabs>
          <w:tab w:val="left" w:pos="1134"/>
        </w:tabs>
        <w:spacing w:before="0" w:line="240" w:lineRule="auto"/>
        <w:rPr>
          <w:rFonts w:ascii="Arial" w:hAnsi="Arial" w:cs="Arial"/>
          <w:szCs w:val="24"/>
        </w:rPr>
      </w:pPr>
    </w:p>
    <w:p w:rsidR="006B5324" w:rsidRPr="00C6609E" w:rsidRDefault="006B5324" w:rsidP="0004386D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b/>
          <w:szCs w:val="24"/>
        </w:rPr>
      </w:pPr>
    </w:p>
    <w:p w:rsidR="006B5324" w:rsidRPr="00C6609E" w:rsidRDefault="006B5324" w:rsidP="0004386D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b/>
          <w:szCs w:val="24"/>
        </w:rPr>
      </w:pPr>
    </w:p>
    <w:p w:rsidR="0004386D" w:rsidRPr="00C6609E" w:rsidRDefault="0004386D" w:rsidP="0004386D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Cs w:val="24"/>
        </w:rPr>
      </w:pPr>
      <w:r w:rsidRPr="00C6609E">
        <w:rPr>
          <w:rFonts w:ascii="Arial" w:hAnsi="Arial" w:cs="Arial"/>
          <w:b/>
          <w:szCs w:val="24"/>
        </w:rPr>
        <w:t>Dostavljeno</w:t>
      </w:r>
      <w:r w:rsidRPr="00C6609E">
        <w:rPr>
          <w:rFonts w:ascii="Arial" w:hAnsi="Arial" w:cs="Arial"/>
          <w:szCs w:val="24"/>
        </w:rPr>
        <w:t>:</w:t>
      </w:r>
      <w:r w:rsidRPr="00C6609E">
        <w:rPr>
          <w:rFonts w:ascii="Arial" w:hAnsi="Arial" w:cs="Arial"/>
          <w:szCs w:val="24"/>
        </w:rPr>
        <w:tab/>
      </w:r>
    </w:p>
    <w:p w:rsidR="0004386D" w:rsidRPr="00C6609E" w:rsidRDefault="000129C8" w:rsidP="0004386D">
      <w:pPr>
        <w:pStyle w:val="ListParagraph"/>
        <w:numPr>
          <w:ilvl w:val="0"/>
          <w:numId w:val="5"/>
        </w:numPr>
        <w:tabs>
          <w:tab w:val="left" w:pos="1134"/>
        </w:tabs>
        <w:spacing w:before="0" w:line="240" w:lineRule="auto"/>
        <w:rPr>
          <w:rFonts w:ascii="Arial" w:hAnsi="Arial" w:cs="Arial"/>
          <w:szCs w:val="24"/>
        </w:rPr>
      </w:pPr>
      <w:r w:rsidRPr="00C6609E">
        <w:rPr>
          <w:rFonts w:ascii="Arial" w:hAnsi="Arial" w:cs="Arial"/>
          <w:szCs w:val="24"/>
        </w:rPr>
        <w:t>NVU „Maškarada“</w:t>
      </w:r>
    </w:p>
    <w:p w:rsidR="000129C8" w:rsidRPr="00C6609E" w:rsidRDefault="000129C8" w:rsidP="0004386D">
      <w:pPr>
        <w:pStyle w:val="ListParagraph"/>
        <w:numPr>
          <w:ilvl w:val="0"/>
          <w:numId w:val="5"/>
        </w:numPr>
        <w:tabs>
          <w:tab w:val="left" w:pos="1134"/>
        </w:tabs>
        <w:spacing w:before="0" w:line="240" w:lineRule="auto"/>
        <w:rPr>
          <w:rFonts w:ascii="Arial" w:hAnsi="Arial" w:cs="Arial"/>
          <w:szCs w:val="24"/>
        </w:rPr>
      </w:pPr>
      <w:r w:rsidRPr="00C6609E">
        <w:rPr>
          <w:rFonts w:ascii="Arial" w:hAnsi="Arial" w:cs="Arial"/>
          <w:szCs w:val="24"/>
        </w:rPr>
        <w:t>„Puzzle“ d.o.o.</w:t>
      </w:r>
    </w:p>
    <w:p w:rsidR="000129C8" w:rsidRPr="00C6609E" w:rsidRDefault="000129C8" w:rsidP="0004386D">
      <w:pPr>
        <w:pStyle w:val="ListParagraph"/>
        <w:numPr>
          <w:ilvl w:val="0"/>
          <w:numId w:val="5"/>
        </w:numPr>
        <w:tabs>
          <w:tab w:val="left" w:pos="1134"/>
        </w:tabs>
        <w:spacing w:before="0" w:line="240" w:lineRule="auto"/>
        <w:rPr>
          <w:rFonts w:ascii="Arial" w:hAnsi="Arial" w:cs="Arial"/>
          <w:szCs w:val="24"/>
        </w:rPr>
      </w:pPr>
      <w:r w:rsidRPr="00C6609E">
        <w:rPr>
          <w:rFonts w:ascii="Arial" w:hAnsi="Arial" w:cs="Arial"/>
          <w:szCs w:val="24"/>
        </w:rPr>
        <w:t>Predragu Šušiću</w:t>
      </w:r>
    </w:p>
    <w:p w:rsidR="0004386D" w:rsidRPr="00C6609E" w:rsidRDefault="000129C8" w:rsidP="0004386D">
      <w:pPr>
        <w:pStyle w:val="ListParagraph"/>
        <w:numPr>
          <w:ilvl w:val="0"/>
          <w:numId w:val="5"/>
        </w:numPr>
        <w:tabs>
          <w:tab w:val="left" w:pos="1134"/>
        </w:tabs>
        <w:spacing w:before="0" w:line="240" w:lineRule="auto"/>
        <w:rPr>
          <w:rFonts w:ascii="Arial" w:hAnsi="Arial" w:cs="Arial"/>
          <w:szCs w:val="24"/>
        </w:rPr>
      </w:pPr>
      <w:r w:rsidRPr="00C6609E">
        <w:rPr>
          <w:rFonts w:ascii="Arial" w:hAnsi="Arial" w:cs="Arial"/>
          <w:szCs w:val="24"/>
        </w:rPr>
        <w:t>Komisiji za raspodjelu sredstava za izdavačku djelatnost</w:t>
      </w:r>
    </w:p>
    <w:p w:rsidR="000129C8" w:rsidRPr="00C6609E" w:rsidRDefault="000129C8" w:rsidP="0004386D">
      <w:pPr>
        <w:pStyle w:val="ListParagraph"/>
        <w:numPr>
          <w:ilvl w:val="0"/>
          <w:numId w:val="5"/>
        </w:numPr>
        <w:tabs>
          <w:tab w:val="left" w:pos="1134"/>
        </w:tabs>
        <w:spacing w:before="0" w:line="240" w:lineRule="auto"/>
        <w:rPr>
          <w:rFonts w:ascii="Arial" w:hAnsi="Arial" w:cs="Arial"/>
          <w:szCs w:val="24"/>
        </w:rPr>
      </w:pPr>
      <w:r w:rsidRPr="00C6609E">
        <w:rPr>
          <w:rFonts w:ascii="Arial" w:hAnsi="Arial" w:cs="Arial"/>
          <w:szCs w:val="24"/>
        </w:rPr>
        <w:t>Predsjedniku opštine</w:t>
      </w:r>
    </w:p>
    <w:p w:rsidR="000129C8" w:rsidRDefault="000129C8" w:rsidP="0004386D">
      <w:pPr>
        <w:pStyle w:val="ListParagraph"/>
        <w:numPr>
          <w:ilvl w:val="0"/>
          <w:numId w:val="5"/>
        </w:num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  <w:r w:rsidRPr="00C6609E">
        <w:rPr>
          <w:rFonts w:ascii="Arial" w:hAnsi="Arial" w:cs="Arial"/>
          <w:szCs w:val="24"/>
        </w:rPr>
        <w:t>Sekretarijatu za finansije i lokalne j</w:t>
      </w:r>
      <w:r>
        <w:rPr>
          <w:rFonts w:ascii="Arial" w:hAnsi="Arial" w:cs="Arial"/>
          <w:sz w:val="22"/>
        </w:rPr>
        <w:t>avne prihode</w:t>
      </w:r>
    </w:p>
    <w:p w:rsidR="000129C8" w:rsidRPr="00037456" w:rsidRDefault="000129C8" w:rsidP="0004386D">
      <w:pPr>
        <w:pStyle w:val="ListParagraph"/>
        <w:numPr>
          <w:ilvl w:val="0"/>
          <w:numId w:val="5"/>
        </w:num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a/a</w:t>
      </w:r>
    </w:p>
    <w:p w:rsidR="0004386D" w:rsidRDefault="0004386D" w:rsidP="0004386D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04386D" w:rsidRPr="00037456" w:rsidRDefault="0004386D" w:rsidP="0004386D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C20E0A" w:rsidRPr="00375D08" w:rsidRDefault="00C20E0A" w:rsidP="0004386D">
      <w:pPr>
        <w:pStyle w:val="Heading2"/>
        <w:rPr>
          <w:sz w:val="20"/>
        </w:rPr>
      </w:pPr>
    </w:p>
    <w:sectPr w:rsidR="00C20E0A" w:rsidRPr="00375D08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255" w:rsidRDefault="00560255" w:rsidP="00A6505B">
      <w:pPr>
        <w:spacing w:before="0" w:after="0" w:line="240" w:lineRule="auto"/>
      </w:pPr>
      <w:r>
        <w:separator/>
      </w:r>
    </w:p>
  </w:endnote>
  <w:endnote w:type="continuationSeparator" w:id="0">
    <w:p w:rsidR="00560255" w:rsidRDefault="0056025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255" w:rsidRDefault="00560255" w:rsidP="00A6505B">
      <w:pPr>
        <w:spacing w:before="0" w:after="0" w:line="240" w:lineRule="auto"/>
      </w:pPr>
      <w:r>
        <w:separator/>
      </w:r>
    </w:p>
  </w:footnote>
  <w:footnote w:type="continuationSeparator" w:id="0">
    <w:p w:rsidR="00560255" w:rsidRDefault="0056025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3C032C" w:rsidP="00451F6C">
    <w:pPr>
      <w:pStyle w:val="Title"/>
      <w:rPr>
        <w:rFonts w:eastAsiaTheme="majorEastAsia" w:cstheme="majorBidi"/>
      </w:rPr>
    </w:pPr>
    <w:r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65B6533" wp14:editId="6B461B22">
              <wp:simplePos x="0" y="0"/>
              <wp:positionH relativeFrom="column">
                <wp:posOffset>3562388</wp:posOffset>
              </wp:positionH>
              <wp:positionV relativeFrom="paragraph">
                <wp:posOffset>-133236</wp:posOffset>
              </wp:positionV>
              <wp:extent cx="2303780" cy="1044053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44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3C032C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3C032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3C032C">
                            <w:rPr>
                              <w:sz w:val="20"/>
                            </w:rPr>
                            <w:t xml:space="preserve">(0) </w:t>
                          </w:r>
                          <w:r w:rsidR="003C032C" w:rsidRPr="003C032C">
                            <w:rPr>
                              <w:sz w:val="20"/>
                            </w:rPr>
                            <w:t>32</w:t>
                          </w:r>
                          <w:r w:rsidR="003C032C">
                            <w:rPr>
                              <w:sz w:val="20"/>
                            </w:rPr>
                            <w:t xml:space="preserve"> 661 318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</w:t>
                          </w:r>
                          <w:r w:rsidR="003C032C">
                            <w:rPr>
                              <w:sz w:val="20"/>
                            </w:rPr>
                            <w:t xml:space="preserve">(0) </w:t>
                          </w:r>
                          <w:r w:rsidR="005B2501">
                            <w:rPr>
                              <w:sz w:val="20"/>
                            </w:rPr>
                            <w:t xml:space="preserve">32 661 </w:t>
                          </w:r>
                          <w:r w:rsidR="003C032C" w:rsidRPr="003C032C">
                            <w:rPr>
                              <w:sz w:val="20"/>
                            </w:rPr>
                            <w:t>395</w:t>
                          </w:r>
                        </w:p>
                        <w:p w:rsidR="00B167AC" w:rsidRDefault="00560255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3C032C" w:rsidRPr="009F0118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  <w:r w:rsidR="003C032C">
                            <w:rPr>
                              <w:color w:val="0070C0"/>
                              <w:sz w:val="20"/>
                            </w:rPr>
                            <w:t xml:space="preserve">  </w:t>
                          </w:r>
                        </w:p>
                        <w:p w:rsidR="00A13743" w:rsidRPr="00AF27FF" w:rsidRDefault="00A1374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13743">
                            <w:rPr>
                              <w:sz w:val="20"/>
                            </w:rPr>
                            <w:t>e-mail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 xml:space="preserve">: </w:t>
                          </w:r>
                          <w:hyperlink r:id="rId2" w:history="1">
                            <w:r w:rsidRPr="0043760E">
                              <w:rPr>
                                <w:rStyle w:val="Hyperlink"/>
                                <w:sz w:val="20"/>
                              </w:rPr>
                              <w:t>kultura@opstinativat.me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B65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5pt;margin-top:-10.5pt;width:181.4pt;height:82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F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" stroked="f">
              <v:textbox>
                <w:txbxContent>
                  <w:p w:rsidR="00B003EE" w:rsidRPr="00AF27FF" w:rsidRDefault="003C032C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3C032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3C032C">
                      <w:rPr>
                        <w:sz w:val="20"/>
                      </w:rPr>
                      <w:t xml:space="preserve">(0) </w:t>
                    </w:r>
                    <w:r w:rsidR="003C032C" w:rsidRPr="003C032C">
                      <w:rPr>
                        <w:sz w:val="20"/>
                      </w:rPr>
                      <w:t>32</w:t>
                    </w:r>
                    <w:r w:rsidR="003C032C">
                      <w:rPr>
                        <w:sz w:val="20"/>
                      </w:rPr>
                      <w:t xml:space="preserve"> 661 318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</w:t>
                    </w:r>
                    <w:r w:rsidR="003C032C">
                      <w:rPr>
                        <w:sz w:val="20"/>
                      </w:rPr>
                      <w:t xml:space="preserve">(0) </w:t>
                    </w:r>
                    <w:r w:rsidR="005B2501">
                      <w:rPr>
                        <w:sz w:val="20"/>
                      </w:rPr>
                      <w:t xml:space="preserve">32 661 </w:t>
                    </w:r>
                    <w:r w:rsidR="003C032C" w:rsidRPr="003C032C">
                      <w:rPr>
                        <w:sz w:val="20"/>
                      </w:rPr>
                      <w:t>395</w:t>
                    </w:r>
                  </w:p>
                  <w:p w:rsidR="00B167AC" w:rsidRDefault="00560255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3" w:history="1">
                      <w:r w:rsidR="003C032C" w:rsidRPr="009F0118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  <w:r w:rsidR="003C032C">
                      <w:rPr>
                        <w:color w:val="0070C0"/>
                        <w:sz w:val="20"/>
                      </w:rPr>
                      <w:t xml:space="preserve">  </w:t>
                    </w:r>
                  </w:p>
                  <w:p w:rsidR="00A13743" w:rsidRPr="00AF27FF" w:rsidRDefault="00A1374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13743">
                      <w:rPr>
                        <w:sz w:val="20"/>
                      </w:rPr>
                      <w:t>e-mail</w:t>
                    </w:r>
                    <w:r>
                      <w:rPr>
                        <w:color w:val="0070C0"/>
                        <w:sz w:val="20"/>
                      </w:rPr>
                      <w:t xml:space="preserve">: </w:t>
                    </w:r>
                    <w:hyperlink r:id="rId4" w:history="1">
                      <w:r w:rsidRPr="0043760E">
                        <w:rPr>
                          <w:rStyle w:val="Hyperlink"/>
                          <w:sz w:val="20"/>
                        </w:rPr>
                        <w:t>kultura@opstinativat.me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5760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5F7AA9A7" wp14:editId="7FCB53D1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1A5EF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3C032C" w:rsidP="005E2CF3">
    <w:pPr>
      <w:pStyle w:val="Title"/>
      <w:spacing w:after="0"/>
      <w:rPr>
        <w:strike/>
      </w:rPr>
    </w:pPr>
    <w: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27492"/>
    <w:multiLevelType w:val="hybridMultilevel"/>
    <w:tmpl w:val="68BC7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81961"/>
    <w:multiLevelType w:val="hybridMultilevel"/>
    <w:tmpl w:val="9C423D0C"/>
    <w:lvl w:ilvl="0" w:tplc="004EE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25067"/>
    <w:multiLevelType w:val="hybridMultilevel"/>
    <w:tmpl w:val="994CA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271A"/>
    <w:rsid w:val="000129C8"/>
    <w:rsid w:val="000205AA"/>
    <w:rsid w:val="00020673"/>
    <w:rsid w:val="0004386D"/>
    <w:rsid w:val="00071E3B"/>
    <w:rsid w:val="000B5128"/>
    <w:rsid w:val="000E4743"/>
    <w:rsid w:val="000F2AA0"/>
    <w:rsid w:val="000F2B95"/>
    <w:rsid w:val="000F2BFC"/>
    <w:rsid w:val="001053EE"/>
    <w:rsid w:val="00107821"/>
    <w:rsid w:val="001126E0"/>
    <w:rsid w:val="00116650"/>
    <w:rsid w:val="0012752E"/>
    <w:rsid w:val="00154D42"/>
    <w:rsid w:val="001778BD"/>
    <w:rsid w:val="001822FC"/>
    <w:rsid w:val="001847FD"/>
    <w:rsid w:val="00196664"/>
    <w:rsid w:val="001A2AAE"/>
    <w:rsid w:val="001A4F2B"/>
    <w:rsid w:val="001A79B6"/>
    <w:rsid w:val="001A7E96"/>
    <w:rsid w:val="001C0852"/>
    <w:rsid w:val="001C2DA5"/>
    <w:rsid w:val="001D0498"/>
    <w:rsid w:val="001D319E"/>
    <w:rsid w:val="001D3909"/>
    <w:rsid w:val="001D5484"/>
    <w:rsid w:val="001F1805"/>
    <w:rsid w:val="001F75D5"/>
    <w:rsid w:val="00205759"/>
    <w:rsid w:val="002511E4"/>
    <w:rsid w:val="00252A36"/>
    <w:rsid w:val="002674B2"/>
    <w:rsid w:val="00292D5E"/>
    <w:rsid w:val="00293834"/>
    <w:rsid w:val="002A7CB3"/>
    <w:rsid w:val="002E4F8A"/>
    <w:rsid w:val="002F461C"/>
    <w:rsid w:val="00310EB6"/>
    <w:rsid w:val="00312100"/>
    <w:rsid w:val="00315337"/>
    <w:rsid w:val="003168DA"/>
    <w:rsid w:val="003263ED"/>
    <w:rsid w:val="003417B8"/>
    <w:rsid w:val="00350578"/>
    <w:rsid w:val="00354D08"/>
    <w:rsid w:val="003602EB"/>
    <w:rsid w:val="00375D08"/>
    <w:rsid w:val="003A6DB5"/>
    <w:rsid w:val="003B59F4"/>
    <w:rsid w:val="003C032C"/>
    <w:rsid w:val="003E1F50"/>
    <w:rsid w:val="004112D5"/>
    <w:rsid w:val="00413FBC"/>
    <w:rsid w:val="00431699"/>
    <w:rsid w:val="004378E1"/>
    <w:rsid w:val="00443739"/>
    <w:rsid w:val="004501E6"/>
    <w:rsid w:val="00451F6C"/>
    <w:rsid w:val="00451FF9"/>
    <w:rsid w:val="004679C3"/>
    <w:rsid w:val="004B0FE0"/>
    <w:rsid w:val="004C076D"/>
    <w:rsid w:val="004C1970"/>
    <w:rsid w:val="004E3DA7"/>
    <w:rsid w:val="004E66D7"/>
    <w:rsid w:val="004F24B0"/>
    <w:rsid w:val="004F5EFD"/>
    <w:rsid w:val="005109F6"/>
    <w:rsid w:val="00523147"/>
    <w:rsid w:val="00531FDF"/>
    <w:rsid w:val="005354AA"/>
    <w:rsid w:val="0053634A"/>
    <w:rsid w:val="00560255"/>
    <w:rsid w:val="005723C7"/>
    <w:rsid w:val="00575732"/>
    <w:rsid w:val="005A4E7E"/>
    <w:rsid w:val="005B2501"/>
    <w:rsid w:val="005B44BF"/>
    <w:rsid w:val="005C6F24"/>
    <w:rsid w:val="005E2CF3"/>
    <w:rsid w:val="005E7125"/>
    <w:rsid w:val="005F56D9"/>
    <w:rsid w:val="00612213"/>
    <w:rsid w:val="0061580E"/>
    <w:rsid w:val="00623246"/>
    <w:rsid w:val="00630A76"/>
    <w:rsid w:val="00646B37"/>
    <w:rsid w:val="00650009"/>
    <w:rsid w:val="006739CA"/>
    <w:rsid w:val="006A24FA"/>
    <w:rsid w:val="006A2C40"/>
    <w:rsid w:val="006B0CEE"/>
    <w:rsid w:val="006B5324"/>
    <w:rsid w:val="006D711E"/>
    <w:rsid w:val="006E262C"/>
    <w:rsid w:val="00722040"/>
    <w:rsid w:val="0073561A"/>
    <w:rsid w:val="00735760"/>
    <w:rsid w:val="0077100B"/>
    <w:rsid w:val="00776034"/>
    <w:rsid w:val="00786F2E"/>
    <w:rsid w:val="007878A7"/>
    <w:rsid w:val="007904A7"/>
    <w:rsid w:val="00794586"/>
    <w:rsid w:val="007978B6"/>
    <w:rsid w:val="007B2B13"/>
    <w:rsid w:val="007C3080"/>
    <w:rsid w:val="007E6A66"/>
    <w:rsid w:val="007F09F0"/>
    <w:rsid w:val="00810444"/>
    <w:rsid w:val="00827F3F"/>
    <w:rsid w:val="00853621"/>
    <w:rsid w:val="0088156B"/>
    <w:rsid w:val="00885190"/>
    <w:rsid w:val="0089290D"/>
    <w:rsid w:val="008A4053"/>
    <w:rsid w:val="008A51A4"/>
    <w:rsid w:val="008C7F82"/>
    <w:rsid w:val="00902E6C"/>
    <w:rsid w:val="00907170"/>
    <w:rsid w:val="009130A0"/>
    <w:rsid w:val="00922A8D"/>
    <w:rsid w:val="00946A67"/>
    <w:rsid w:val="00960C11"/>
    <w:rsid w:val="0096107C"/>
    <w:rsid w:val="00971246"/>
    <w:rsid w:val="00987181"/>
    <w:rsid w:val="00992D85"/>
    <w:rsid w:val="00997C04"/>
    <w:rsid w:val="009A0B18"/>
    <w:rsid w:val="009B5F9B"/>
    <w:rsid w:val="009E488D"/>
    <w:rsid w:val="009E797A"/>
    <w:rsid w:val="00A01287"/>
    <w:rsid w:val="00A13743"/>
    <w:rsid w:val="00A373B9"/>
    <w:rsid w:val="00A5204B"/>
    <w:rsid w:val="00A6505B"/>
    <w:rsid w:val="00A85076"/>
    <w:rsid w:val="00A95714"/>
    <w:rsid w:val="00AA0712"/>
    <w:rsid w:val="00AB5864"/>
    <w:rsid w:val="00AD5A92"/>
    <w:rsid w:val="00AF27FF"/>
    <w:rsid w:val="00B003EE"/>
    <w:rsid w:val="00B13AFC"/>
    <w:rsid w:val="00B167AC"/>
    <w:rsid w:val="00B40A06"/>
    <w:rsid w:val="00B422A4"/>
    <w:rsid w:val="00B473C2"/>
    <w:rsid w:val="00B47D2C"/>
    <w:rsid w:val="00B64F53"/>
    <w:rsid w:val="00B83F7A"/>
    <w:rsid w:val="00B84F08"/>
    <w:rsid w:val="00BE3206"/>
    <w:rsid w:val="00BE3E8F"/>
    <w:rsid w:val="00BF464E"/>
    <w:rsid w:val="00C06723"/>
    <w:rsid w:val="00C123D2"/>
    <w:rsid w:val="00C176EB"/>
    <w:rsid w:val="00C20335"/>
    <w:rsid w:val="00C20E0A"/>
    <w:rsid w:val="00C2622E"/>
    <w:rsid w:val="00C4431F"/>
    <w:rsid w:val="00C525C4"/>
    <w:rsid w:val="00C571FE"/>
    <w:rsid w:val="00C63BC0"/>
    <w:rsid w:val="00C6609E"/>
    <w:rsid w:val="00C84028"/>
    <w:rsid w:val="00C87F77"/>
    <w:rsid w:val="00CA4058"/>
    <w:rsid w:val="00CC2580"/>
    <w:rsid w:val="00CD159D"/>
    <w:rsid w:val="00CE2D43"/>
    <w:rsid w:val="00CF540B"/>
    <w:rsid w:val="00D23B4D"/>
    <w:rsid w:val="00D2455F"/>
    <w:rsid w:val="00D40D73"/>
    <w:rsid w:val="00D63B3D"/>
    <w:rsid w:val="00D70678"/>
    <w:rsid w:val="00D71885"/>
    <w:rsid w:val="00DA327E"/>
    <w:rsid w:val="00DA664C"/>
    <w:rsid w:val="00DC5DF1"/>
    <w:rsid w:val="00DD4547"/>
    <w:rsid w:val="00DE2BD2"/>
    <w:rsid w:val="00DE6827"/>
    <w:rsid w:val="00DF60F7"/>
    <w:rsid w:val="00DF6D50"/>
    <w:rsid w:val="00E156D2"/>
    <w:rsid w:val="00E22AF5"/>
    <w:rsid w:val="00E65CE4"/>
    <w:rsid w:val="00E73872"/>
    <w:rsid w:val="00E73A9B"/>
    <w:rsid w:val="00E74F68"/>
    <w:rsid w:val="00E75466"/>
    <w:rsid w:val="00EE4178"/>
    <w:rsid w:val="00F03708"/>
    <w:rsid w:val="00F127D8"/>
    <w:rsid w:val="00F14B0C"/>
    <w:rsid w:val="00F16D1B"/>
    <w:rsid w:val="00F21A4A"/>
    <w:rsid w:val="00F323F6"/>
    <w:rsid w:val="00F63FBA"/>
    <w:rsid w:val="00FD628C"/>
    <w:rsid w:val="00FE4CFA"/>
    <w:rsid w:val="00FF05AD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322018-243F-4A72-83A4-23A4EC4E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12752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ultura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ultura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Computer</cp:lastModifiedBy>
  <cp:revision>2</cp:revision>
  <cp:lastPrinted>2020-05-11T12:30:00Z</cp:lastPrinted>
  <dcterms:created xsi:type="dcterms:W3CDTF">2020-05-12T17:43:00Z</dcterms:created>
  <dcterms:modified xsi:type="dcterms:W3CDTF">2020-05-12T17:43:00Z</dcterms:modified>
</cp:coreProperties>
</file>