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38</w:t>
      </w:r>
      <w:r w:rsidRPr="000A61D5">
        <w:rPr>
          <w:rFonts w:ascii="Arial" w:hAnsi="Arial" w:cs="Arial"/>
          <w:sz w:val="24"/>
          <w:szCs w:val="24"/>
        </w:rPr>
        <w:t xml:space="preserve"> Zakona o lokalnoj samoupravi ("Sl</w:t>
      </w:r>
      <w:r>
        <w:rPr>
          <w:rFonts w:ascii="Arial" w:hAnsi="Arial" w:cs="Arial"/>
          <w:sz w:val="24"/>
          <w:szCs w:val="24"/>
        </w:rPr>
        <w:t>užbeni list Crne Gore“ br. 02/18</w:t>
      </w:r>
      <w:r w:rsidR="003860C6">
        <w:rPr>
          <w:rFonts w:ascii="Arial" w:hAnsi="Arial" w:cs="Arial"/>
          <w:sz w:val="24"/>
          <w:szCs w:val="24"/>
        </w:rPr>
        <w:t>,34/19, 38/20</w:t>
      </w:r>
      <w:r w:rsidR="00AA421D">
        <w:rPr>
          <w:rFonts w:ascii="Arial" w:hAnsi="Arial" w:cs="Arial"/>
          <w:sz w:val="24"/>
          <w:szCs w:val="24"/>
        </w:rPr>
        <w:t>) ,</w:t>
      </w:r>
      <w:r>
        <w:rPr>
          <w:rFonts w:ascii="Arial" w:hAnsi="Arial" w:cs="Arial"/>
          <w:sz w:val="24"/>
          <w:szCs w:val="24"/>
        </w:rPr>
        <w:t>člana 35 Statuta Opštine Tivat ("Službeni list Crne Gore</w:t>
      </w:r>
      <w:r w:rsidRPr="000A61D5">
        <w:rPr>
          <w:rFonts w:ascii="Arial" w:hAnsi="Arial" w:cs="Arial"/>
          <w:sz w:val="24"/>
          <w:szCs w:val="24"/>
        </w:rPr>
        <w:t>-opštinski propisi</w:t>
      </w:r>
      <w:r>
        <w:rPr>
          <w:rFonts w:ascii="Arial" w:hAnsi="Arial" w:cs="Arial"/>
          <w:sz w:val="24"/>
          <w:szCs w:val="24"/>
        </w:rPr>
        <w:t>“ br.24/18</w:t>
      </w:r>
      <w:r w:rsidR="006A2F76">
        <w:rPr>
          <w:rFonts w:ascii="Arial" w:hAnsi="Arial" w:cs="Arial"/>
          <w:sz w:val="24"/>
          <w:szCs w:val="24"/>
        </w:rPr>
        <w:t>,09/20</w:t>
      </w:r>
      <w:r w:rsidRPr="000A61D5">
        <w:rPr>
          <w:rFonts w:ascii="Arial" w:hAnsi="Arial" w:cs="Arial"/>
          <w:sz w:val="24"/>
          <w:szCs w:val="24"/>
        </w:rPr>
        <w:t>)</w:t>
      </w:r>
      <w:r w:rsidR="00AA421D">
        <w:rPr>
          <w:rFonts w:ascii="Arial" w:hAnsi="Arial" w:cs="Arial"/>
          <w:sz w:val="24"/>
          <w:szCs w:val="24"/>
        </w:rPr>
        <w:t xml:space="preserve"> i člana 11 Odluke o osnivanju JU Muzej i galerija Tivat ("Službeni list Crne Gore-opštinski propisi" br.48/17) </w:t>
      </w:r>
      <w:r w:rsidR="00CF230E">
        <w:rPr>
          <w:rFonts w:ascii="Arial" w:hAnsi="Arial" w:cs="Arial"/>
          <w:sz w:val="24"/>
          <w:szCs w:val="24"/>
        </w:rPr>
        <w:t xml:space="preserve">, Skupština Opštine Tivat </w:t>
      </w:r>
      <w:bookmarkStart w:id="0" w:name="_GoBack"/>
      <w:bookmarkEnd w:id="0"/>
      <w:r w:rsidRPr="000A61D5">
        <w:rPr>
          <w:rFonts w:ascii="Arial" w:hAnsi="Arial" w:cs="Arial"/>
          <w:sz w:val="24"/>
          <w:szCs w:val="24"/>
        </w:rPr>
        <w:t>na s</w:t>
      </w:r>
      <w:r>
        <w:rPr>
          <w:rFonts w:ascii="Arial" w:hAnsi="Arial" w:cs="Arial"/>
          <w:sz w:val="24"/>
          <w:szCs w:val="24"/>
        </w:rPr>
        <w:t xml:space="preserve">jednici održanoj dana </w:t>
      </w:r>
      <w:r w:rsidR="00FE678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.12.20</w:t>
      </w:r>
      <w:r w:rsidR="00FE678D">
        <w:rPr>
          <w:rFonts w:ascii="Arial" w:hAnsi="Arial" w:cs="Arial"/>
          <w:sz w:val="24"/>
          <w:szCs w:val="24"/>
        </w:rPr>
        <w:t>20</w:t>
      </w:r>
      <w:r w:rsidRPr="000A61D5">
        <w:rPr>
          <w:rFonts w:ascii="Arial" w:hAnsi="Arial" w:cs="Arial"/>
          <w:sz w:val="24"/>
          <w:szCs w:val="24"/>
        </w:rPr>
        <w:t>.godine, donijela je</w:t>
      </w:r>
    </w:p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65C" w:rsidRDefault="00DD465C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4895">
        <w:rPr>
          <w:rFonts w:ascii="Arial" w:hAnsi="Arial" w:cs="Arial"/>
          <w:sz w:val="24"/>
          <w:szCs w:val="24"/>
        </w:rPr>
        <w:t>ODLUKU</w:t>
      </w:r>
    </w:p>
    <w:p w:rsidR="00025F09" w:rsidRPr="00A54895" w:rsidRDefault="00025F09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Pr="00A5489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4895">
        <w:rPr>
          <w:rFonts w:ascii="Arial" w:hAnsi="Arial" w:cs="Arial"/>
          <w:sz w:val="24"/>
          <w:szCs w:val="24"/>
        </w:rPr>
        <w:t xml:space="preserve">o </w:t>
      </w:r>
      <w:r w:rsidR="00B532CE">
        <w:rPr>
          <w:rFonts w:ascii="Arial" w:hAnsi="Arial" w:cs="Arial"/>
          <w:sz w:val="24"/>
          <w:szCs w:val="24"/>
        </w:rPr>
        <w:t>dav</w:t>
      </w:r>
      <w:r w:rsidRPr="00A54895">
        <w:rPr>
          <w:rFonts w:ascii="Arial" w:hAnsi="Arial" w:cs="Arial"/>
          <w:sz w:val="24"/>
          <w:szCs w:val="24"/>
        </w:rPr>
        <w:t xml:space="preserve">anju </w:t>
      </w:r>
      <w:r w:rsidR="00B532CE">
        <w:rPr>
          <w:rFonts w:ascii="Arial" w:hAnsi="Arial" w:cs="Arial"/>
          <w:sz w:val="24"/>
          <w:szCs w:val="24"/>
        </w:rPr>
        <w:t xml:space="preserve">saglasnosti na </w:t>
      </w:r>
      <w:r w:rsidR="002563D5" w:rsidRPr="00A54895">
        <w:rPr>
          <w:rFonts w:ascii="Arial" w:hAnsi="Arial" w:cs="Arial"/>
          <w:sz w:val="24"/>
          <w:szCs w:val="24"/>
        </w:rPr>
        <w:t>Plan</w:t>
      </w:r>
      <w:r w:rsidR="00A273DF" w:rsidRPr="00A54895">
        <w:rPr>
          <w:rFonts w:ascii="Arial" w:hAnsi="Arial" w:cs="Arial"/>
          <w:sz w:val="24"/>
          <w:szCs w:val="24"/>
        </w:rPr>
        <w:t xml:space="preserve"> i prog</w:t>
      </w:r>
      <w:r w:rsidR="00741534" w:rsidRPr="00A54895">
        <w:rPr>
          <w:rFonts w:ascii="Arial" w:hAnsi="Arial" w:cs="Arial"/>
          <w:sz w:val="24"/>
          <w:szCs w:val="24"/>
        </w:rPr>
        <w:t>ram rada JU</w:t>
      </w:r>
      <w:r w:rsidR="00195EE0" w:rsidRPr="00A54895">
        <w:rPr>
          <w:rFonts w:ascii="Arial" w:hAnsi="Arial" w:cs="Arial"/>
          <w:sz w:val="24"/>
          <w:szCs w:val="24"/>
        </w:rPr>
        <w:t xml:space="preserve"> "Muzej i galerija</w:t>
      </w:r>
      <w:r w:rsidRPr="00A54895">
        <w:rPr>
          <w:rFonts w:ascii="Arial" w:hAnsi="Arial" w:cs="Arial"/>
          <w:sz w:val="24"/>
          <w:szCs w:val="24"/>
        </w:rPr>
        <w:t xml:space="preserve">" Tivat </w:t>
      </w:r>
      <w:r w:rsidR="00AA421D">
        <w:rPr>
          <w:rFonts w:ascii="Arial" w:hAnsi="Arial" w:cs="Arial"/>
          <w:sz w:val="24"/>
          <w:szCs w:val="24"/>
        </w:rPr>
        <w:t xml:space="preserve">sa finansijskim planom </w:t>
      </w:r>
      <w:r w:rsidRPr="00A54895">
        <w:rPr>
          <w:rFonts w:ascii="Arial" w:hAnsi="Arial" w:cs="Arial"/>
          <w:sz w:val="24"/>
          <w:szCs w:val="24"/>
        </w:rPr>
        <w:t>za 20</w:t>
      </w:r>
      <w:r w:rsidR="00572086" w:rsidRPr="00A54895">
        <w:rPr>
          <w:rFonts w:ascii="Arial" w:hAnsi="Arial" w:cs="Arial"/>
          <w:sz w:val="24"/>
          <w:szCs w:val="24"/>
        </w:rPr>
        <w:t>2</w:t>
      </w:r>
      <w:r w:rsidRPr="00A54895">
        <w:rPr>
          <w:rFonts w:ascii="Arial" w:hAnsi="Arial" w:cs="Arial"/>
          <w:sz w:val="24"/>
          <w:szCs w:val="24"/>
        </w:rPr>
        <w:t>1. godinu</w:t>
      </w:r>
    </w:p>
    <w:p w:rsidR="000A61D5" w:rsidRPr="00A5489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65C" w:rsidRDefault="00DD465C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Član 1</w:t>
      </w:r>
    </w:p>
    <w:p w:rsidR="00195EE0" w:rsidRPr="000A61D5" w:rsidRDefault="00195EE0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Pr="000A61D5" w:rsidRDefault="00AA421D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Daje</w:t>
      </w:r>
      <w:r w:rsidR="000A61D5" w:rsidRPr="000A61D5">
        <w:rPr>
          <w:rFonts w:ascii="Arial" w:hAnsi="Arial" w:cs="Arial"/>
          <w:sz w:val="24"/>
          <w:szCs w:val="24"/>
        </w:rPr>
        <w:t xml:space="preserve"> s</w:t>
      </w:r>
      <w:r w:rsidR="002563D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saglasnost na </w:t>
      </w:r>
      <w:r w:rsidR="002563D5">
        <w:rPr>
          <w:rFonts w:ascii="Arial" w:hAnsi="Arial" w:cs="Arial"/>
          <w:sz w:val="24"/>
          <w:szCs w:val="24"/>
        </w:rPr>
        <w:t>Pl</w:t>
      </w:r>
      <w:r w:rsidR="00A273DF">
        <w:rPr>
          <w:rFonts w:ascii="Arial" w:hAnsi="Arial" w:cs="Arial"/>
          <w:sz w:val="24"/>
          <w:szCs w:val="24"/>
        </w:rPr>
        <w:t>an i pro</w:t>
      </w:r>
      <w:r w:rsidR="00741534">
        <w:rPr>
          <w:rFonts w:ascii="Arial" w:hAnsi="Arial" w:cs="Arial"/>
          <w:sz w:val="24"/>
          <w:szCs w:val="24"/>
        </w:rPr>
        <w:t>gram rada JU</w:t>
      </w:r>
      <w:r w:rsidR="004B1E6E">
        <w:rPr>
          <w:rFonts w:ascii="Arial" w:hAnsi="Arial" w:cs="Arial"/>
          <w:sz w:val="24"/>
          <w:szCs w:val="24"/>
        </w:rPr>
        <w:t xml:space="preserve"> "</w:t>
      </w:r>
      <w:r w:rsidR="00195EE0">
        <w:rPr>
          <w:rFonts w:ascii="Arial" w:hAnsi="Arial" w:cs="Arial"/>
          <w:sz w:val="24"/>
          <w:szCs w:val="24"/>
        </w:rPr>
        <w:t>Muzej i galerija</w:t>
      </w:r>
      <w:r w:rsidR="000A61D5">
        <w:rPr>
          <w:rFonts w:ascii="Arial" w:hAnsi="Arial" w:cs="Arial"/>
          <w:sz w:val="24"/>
          <w:szCs w:val="24"/>
        </w:rPr>
        <w:t xml:space="preserve">" Tivat </w:t>
      </w:r>
      <w:r>
        <w:rPr>
          <w:rFonts w:ascii="Arial" w:hAnsi="Arial" w:cs="Arial"/>
          <w:sz w:val="24"/>
          <w:szCs w:val="24"/>
        </w:rPr>
        <w:t xml:space="preserve">sa finansijskim planom </w:t>
      </w:r>
      <w:r w:rsidR="000A61D5">
        <w:rPr>
          <w:rFonts w:ascii="Arial" w:hAnsi="Arial" w:cs="Arial"/>
          <w:sz w:val="24"/>
          <w:szCs w:val="24"/>
        </w:rPr>
        <w:t>za 20</w:t>
      </w:r>
      <w:r w:rsidR="00572086">
        <w:rPr>
          <w:rFonts w:ascii="Arial" w:hAnsi="Arial" w:cs="Arial"/>
          <w:sz w:val="24"/>
          <w:szCs w:val="24"/>
        </w:rPr>
        <w:t>2</w:t>
      </w:r>
      <w:r w:rsidR="000A61D5">
        <w:rPr>
          <w:rFonts w:ascii="Arial" w:hAnsi="Arial" w:cs="Arial"/>
          <w:sz w:val="24"/>
          <w:szCs w:val="24"/>
        </w:rPr>
        <w:t>1</w:t>
      </w:r>
      <w:r w:rsidR="000A61D5" w:rsidRPr="000A61D5">
        <w:rPr>
          <w:rFonts w:ascii="Arial" w:hAnsi="Arial" w:cs="Arial"/>
          <w:sz w:val="24"/>
          <w:szCs w:val="24"/>
        </w:rPr>
        <w:t>.godinu</w:t>
      </w:r>
      <w:r w:rsidR="004B1E6E">
        <w:rPr>
          <w:rFonts w:ascii="Arial" w:hAnsi="Arial" w:cs="Arial"/>
          <w:sz w:val="24"/>
          <w:szCs w:val="24"/>
        </w:rPr>
        <w:t>.</w:t>
      </w:r>
    </w:p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65C" w:rsidRDefault="00DD465C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Član 2</w:t>
      </w:r>
    </w:p>
    <w:p w:rsidR="00195EE0" w:rsidRPr="000A61D5" w:rsidRDefault="00195EE0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Ova odluka stupa na snagu osmog dana od dana objavljivanja u "Sl. listu CG-opštinski propisi".</w:t>
      </w:r>
    </w:p>
    <w:p w:rsidR="00195EE0" w:rsidRPr="000A61D5" w:rsidRDefault="00195EE0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Pr="00A54895" w:rsidRDefault="004B1E6E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54895">
        <w:rPr>
          <w:rFonts w:ascii="Arial" w:hAnsi="Arial" w:cs="Arial"/>
          <w:sz w:val="24"/>
          <w:szCs w:val="24"/>
        </w:rPr>
        <w:t xml:space="preserve">Broj: </w:t>
      </w:r>
      <w:r w:rsidR="00195EE0" w:rsidRPr="00A54895">
        <w:rPr>
          <w:rFonts w:ascii="Arial" w:hAnsi="Arial" w:cs="Arial"/>
          <w:sz w:val="24"/>
          <w:szCs w:val="24"/>
        </w:rPr>
        <w:t>03</w:t>
      </w:r>
      <w:r w:rsidR="00572086" w:rsidRPr="00A54895">
        <w:rPr>
          <w:rFonts w:ascii="Arial" w:hAnsi="Arial" w:cs="Arial"/>
          <w:sz w:val="24"/>
          <w:szCs w:val="24"/>
        </w:rPr>
        <w:t>-</w:t>
      </w:r>
      <w:r w:rsidR="00195EE0" w:rsidRPr="00A54895">
        <w:rPr>
          <w:rFonts w:ascii="Arial" w:hAnsi="Arial" w:cs="Arial"/>
          <w:sz w:val="24"/>
          <w:szCs w:val="24"/>
        </w:rPr>
        <w:t>040</w:t>
      </w:r>
      <w:r w:rsidR="00572086" w:rsidRPr="00A54895">
        <w:rPr>
          <w:rFonts w:ascii="Arial" w:hAnsi="Arial" w:cs="Arial"/>
          <w:sz w:val="24"/>
          <w:szCs w:val="24"/>
        </w:rPr>
        <w:t>/2</w:t>
      </w:r>
      <w:r w:rsidR="00195EE0" w:rsidRPr="00A54895">
        <w:rPr>
          <w:rFonts w:ascii="Arial" w:hAnsi="Arial" w:cs="Arial"/>
          <w:sz w:val="24"/>
          <w:szCs w:val="24"/>
        </w:rPr>
        <w:t>0-</w:t>
      </w:r>
      <w:r w:rsidR="00572086" w:rsidRPr="00A54895">
        <w:rPr>
          <w:rFonts w:ascii="Arial" w:hAnsi="Arial" w:cs="Arial"/>
          <w:sz w:val="24"/>
          <w:szCs w:val="24"/>
        </w:rPr>
        <w:t>282</w:t>
      </w: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54895">
        <w:rPr>
          <w:rFonts w:ascii="Arial" w:hAnsi="Arial" w:cs="Arial"/>
          <w:sz w:val="24"/>
          <w:szCs w:val="24"/>
        </w:rPr>
        <w:t xml:space="preserve">Tivat, </w:t>
      </w:r>
      <w:r w:rsidR="00572086" w:rsidRPr="00A54895">
        <w:rPr>
          <w:rFonts w:ascii="Arial" w:hAnsi="Arial" w:cs="Arial"/>
          <w:sz w:val="24"/>
          <w:szCs w:val="24"/>
        </w:rPr>
        <w:t>16</w:t>
      </w:r>
      <w:r w:rsidRPr="00A54895">
        <w:rPr>
          <w:rFonts w:ascii="Arial" w:hAnsi="Arial" w:cs="Arial"/>
          <w:sz w:val="24"/>
          <w:szCs w:val="24"/>
        </w:rPr>
        <w:t>.12.20</w:t>
      </w:r>
      <w:r w:rsidR="00572086" w:rsidRPr="00A54895">
        <w:rPr>
          <w:rFonts w:ascii="Arial" w:hAnsi="Arial" w:cs="Arial"/>
          <w:sz w:val="24"/>
          <w:szCs w:val="24"/>
        </w:rPr>
        <w:t>20</w:t>
      </w:r>
      <w:r w:rsidRPr="00A54895">
        <w:rPr>
          <w:rFonts w:ascii="Arial" w:hAnsi="Arial" w:cs="Arial"/>
          <w:sz w:val="24"/>
          <w:szCs w:val="24"/>
        </w:rPr>
        <w:t>.godine</w:t>
      </w:r>
    </w:p>
    <w:p w:rsidR="0083428F" w:rsidRPr="00A54895" w:rsidRDefault="0083428F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Pr="00A5489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Pr="00A5489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4895">
        <w:rPr>
          <w:rFonts w:ascii="Arial" w:hAnsi="Arial" w:cs="Arial"/>
          <w:sz w:val="24"/>
          <w:szCs w:val="24"/>
        </w:rPr>
        <w:t>Skupština Opštine Tivat</w:t>
      </w:r>
    </w:p>
    <w:p w:rsidR="000A61D5" w:rsidRPr="00A5489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4895">
        <w:rPr>
          <w:rFonts w:ascii="Arial" w:hAnsi="Arial" w:cs="Arial"/>
          <w:sz w:val="24"/>
          <w:szCs w:val="24"/>
        </w:rPr>
        <w:t>Predsjednik</w:t>
      </w:r>
    </w:p>
    <w:p w:rsidR="000A61D5" w:rsidRPr="00A54895" w:rsidRDefault="00A5489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FF3389" w:rsidRPr="00A54895" w:rsidRDefault="00FF3389">
      <w:pPr>
        <w:rPr>
          <w:rFonts w:ascii="Arial" w:hAnsi="Arial" w:cs="Arial"/>
          <w:sz w:val="24"/>
          <w:szCs w:val="24"/>
        </w:rPr>
      </w:pPr>
    </w:p>
    <w:sectPr w:rsidR="00FF3389" w:rsidRPr="00A54895" w:rsidSect="00871CC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D5"/>
    <w:rsid w:val="00025F09"/>
    <w:rsid w:val="000A61D5"/>
    <w:rsid w:val="00195EE0"/>
    <w:rsid w:val="002563D5"/>
    <w:rsid w:val="003860C6"/>
    <w:rsid w:val="004B1E6E"/>
    <w:rsid w:val="00572086"/>
    <w:rsid w:val="006A2F76"/>
    <w:rsid w:val="00741534"/>
    <w:rsid w:val="0083428F"/>
    <w:rsid w:val="00A273DF"/>
    <w:rsid w:val="00A54895"/>
    <w:rsid w:val="00AA421D"/>
    <w:rsid w:val="00B532CE"/>
    <w:rsid w:val="00CF230E"/>
    <w:rsid w:val="00DD465C"/>
    <w:rsid w:val="00FE678D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5804"/>
  <w15:chartTrackingRefBased/>
  <w15:docId w15:val="{506D3761-5A96-46A6-92A3-50D9A15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14</cp:revision>
  <dcterms:created xsi:type="dcterms:W3CDTF">2018-12-24T08:58:00Z</dcterms:created>
  <dcterms:modified xsi:type="dcterms:W3CDTF">2020-12-18T10:50:00Z</dcterms:modified>
</cp:coreProperties>
</file>