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01" w:rsidRPr="003D4133" w:rsidRDefault="00CD0001">
      <w:pPr>
        <w:pStyle w:val="N01Y"/>
        <w:rPr>
          <w:rFonts w:asciiTheme="minorHAnsi" w:hAnsiTheme="minorHAnsi" w:cstheme="minorHAnsi"/>
          <w:sz w:val="24"/>
          <w:szCs w:val="24"/>
        </w:rPr>
      </w:pPr>
    </w:p>
    <w:p w:rsidR="00CD0001" w:rsidRPr="003D4133" w:rsidRDefault="00CD0001" w:rsidP="00C27E77">
      <w:pPr>
        <w:pStyle w:val="N02Y"/>
        <w:ind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osnovu</w:t>
      </w:r>
      <w:proofErr w:type="spellEnd"/>
      <w:r w:rsidR="00CA2F4B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CA2F4B" w:rsidRPr="003D4133">
        <w:rPr>
          <w:rFonts w:asciiTheme="minorHAnsi" w:hAnsiTheme="minorHAnsi" w:cstheme="minorHAnsi"/>
          <w:color w:val="auto"/>
          <w:sz w:val="24"/>
          <w:szCs w:val="24"/>
        </w:rPr>
        <w:t>člana</w:t>
      </w:r>
      <w:proofErr w:type="spellEnd"/>
      <w:r w:rsidR="00CA2F4B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F189E" w:rsidRPr="003D4133">
        <w:rPr>
          <w:rFonts w:asciiTheme="minorHAnsi" w:hAnsiTheme="minorHAnsi" w:cstheme="minorHAnsi"/>
          <w:color w:val="auto"/>
          <w:sz w:val="24"/>
          <w:szCs w:val="24"/>
        </w:rPr>
        <w:t>38</w:t>
      </w:r>
      <w:r w:rsidR="00CA2F4B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CA2F4B" w:rsidRPr="003D4133">
        <w:rPr>
          <w:rFonts w:asciiTheme="minorHAnsi" w:hAnsiTheme="minorHAnsi" w:cstheme="minorHAnsi"/>
          <w:color w:val="auto"/>
          <w:sz w:val="24"/>
          <w:szCs w:val="24"/>
        </w:rPr>
        <w:t>stav</w:t>
      </w:r>
      <w:proofErr w:type="spellEnd"/>
      <w:r w:rsidR="00CA2F4B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1 </w:t>
      </w:r>
      <w:proofErr w:type="spellStart"/>
      <w:r w:rsidR="00CA2F4B" w:rsidRPr="003D4133">
        <w:rPr>
          <w:rFonts w:asciiTheme="minorHAnsi" w:hAnsiTheme="minorHAnsi" w:cstheme="minorHAnsi"/>
          <w:color w:val="auto"/>
          <w:sz w:val="24"/>
          <w:szCs w:val="24"/>
        </w:rPr>
        <w:t>alineja</w:t>
      </w:r>
      <w:proofErr w:type="spellEnd"/>
      <w:r w:rsidR="00CA2F4B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2 </w:t>
      </w:r>
      <w:proofErr w:type="spellStart"/>
      <w:r w:rsidR="00CA2F4B" w:rsidRPr="003D4133">
        <w:rPr>
          <w:rFonts w:asciiTheme="minorHAnsi" w:hAnsiTheme="minorHAnsi" w:cstheme="minorHAnsi"/>
          <w:color w:val="auto"/>
          <w:sz w:val="24"/>
          <w:szCs w:val="24"/>
        </w:rPr>
        <w:t>Zakona</w:t>
      </w:r>
      <w:proofErr w:type="spellEnd"/>
      <w:r w:rsidR="00CA2F4B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o </w:t>
      </w:r>
      <w:proofErr w:type="spellStart"/>
      <w:r w:rsidR="003B1D4A" w:rsidRPr="003D4133">
        <w:rPr>
          <w:rFonts w:asciiTheme="minorHAnsi" w:hAnsiTheme="minorHAnsi" w:cstheme="minorHAnsi"/>
          <w:color w:val="auto"/>
          <w:sz w:val="24"/>
          <w:szCs w:val="24"/>
        </w:rPr>
        <w:t>lokalnoj</w:t>
      </w:r>
      <w:proofErr w:type="spellEnd"/>
      <w:r w:rsidR="003B1D4A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3B1D4A" w:rsidRPr="003D4133">
        <w:rPr>
          <w:rFonts w:asciiTheme="minorHAnsi" w:hAnsiTheme="minorHAnsi" w:cstheme="minorHAnsi"/>
          <w:color w:val="auto"/>
          <w:sz w:val="24"/>
          <w:szCs w:val="24"/>
        </w:rPr>
        <w:t>samoupravi</w:t>
      </w:r>
      <w:proofErr w:type="spellEnd"/>
      <w:r w:rsidR="003B1D4A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("</w:t>
      </w:r>
      <w:proofErr w:type="spellStart"/>
      <w:r w:rsidR="003B1D4A" w:rsidRPr="003D4133">
        <w:rPr>
          <w:rFonts w:asciiTheme="minorHAnsi" w:hAnsiTheme="minorHAnsi" w:cstheme="minorHAnsi"/>
          <w:color w:val="auto"/>
          <w:sz w:val="24"/>
          <w:szCs w:val="24"/>
        </w:rPr>
        <w:t>Službeni</w:t>
      </w:r>
      <w:proofErr w:type="spellEnd"/>
      <w:r w:rsidR="003B1D4A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list </w:t>
      </w:r>
      <w:proofErr w:type="spellStart"/>
      <w:r w:rsidR="003B1D4A" w:rsidRPr="003D4133">
        <w:rPr>
          <w:rFonts w:asciiTheme="minorHAnsi" w:hAnsiTheme="minorHAnsi" w:cstheme="minorHAnsi"/>
          <w:color w:val="auto"/>
          <w:sz w:val="24"/>
          <w:szCs w:val="24"/>
        </w:rPr>
        <w:t>Crne</w:t>
      </w:r>
      <w:proofErr w:type="spellEnd"/>
      <w:r w:rsidR="003B1D4A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Gore", br. 002/18, 034/19, 038/20),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člana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35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stav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1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alineja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2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Statuta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Opštine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Tivat ("Sl. list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Crne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Gore -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opštinski</w:t>
      </w:r>
      <w:proofErr w:type="spellEnd"/>
      <w:r w:rsidR="009E2E8A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9E2E8A" w:rsidRPr="003D4133">
        <w:rPr>
          <w:rFonts w:asciiTheme="minorHAnsi" w:hAnsiTheme="minorHAnsi" w:cstheme="minorHAnsi"/>
          <w:color w:val="auto"/>
          <w:sz w:val="24"/>
          <w:szCs w:val="24"/>
        </w:rPr>
        <w:t>propisi</w:t>
      </w:r>
      <w:proofErr w:type="spellEnd"/>
      <w:r w:rsidR="009E2E8A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", br. 24/18 i 09/20)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Skupština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Opštine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Tivat,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na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sjednici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održanoj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417CD">
        <w:rPr>
          <w:rFonts w:asciiTheme="minorHAnsi" w:hAnsiTheme="minorHAnsi" w:cstheme="minorHAnsi"/>
          <w:color w:val="auto"/>
          <w:sz w:val="24"/>
          <w:szCs w:val="24"/>
        </w:rPr>
        <w:t>31.03.</w:t>
      </w:r>
      <w:bookmarkStart w:id="0" w:name="_GoBack"/>
      <w:bookmarkEnd w:id="0"/>
      <w:r w:rsidR="00CD24FD" w:rsidRPr="003D4133">
        <w:rPr>
          <w:rFonts w:asciiTheme="minorHAnsi" w:hAnsiTheme="minorHAnsi" w:cstheme="minorHAnsi"/>
          <w:color w:val="auto"/>
          <w:sz w:val="24"/>
          <w:szCs w:val="24"/>
        </w:rPr>
        <w:t>2021</w:t>
      </w:r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Pr="003D4133">
        <w:rPr>
          <w:rFonts w:asciiTheme="minorHAnsi" w:hAnsiTheme="minorHAnsi" w:cstheme="minorHAnsi"/>
          <w:color w:val="auto"/>
          <w:sz w:val="24"/>
          <w:szCs w:val="24"/>
        </w:rPr>
        <w:t>godine</w:t>
      </w:r>
      <w:proofErr w:type="spellEnd"/>
      <w:r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CD24FD" w:rsidRPr="003D4133">
        <w:rPr>
          <w:rFonts w:asciiTheme="minorHAnsi" w:hAnsiTheme="minorHAnsi" w:cstheme="minorHAnsi"/>
          <w:color w:val="auto"/>
          <w:sz w:val="24"/>
          <w:szCs w:val="24"/>
        </w:rPr>
        <w:t>donosi</w:t>
      </w:r>
      <w:proofErr w:type="spellEnd"/>
      <w:r w:rsidR="00CD24FD" w:rsidRPr="003D41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CD0001" w:rsidRPr="003D4133" w:rsidRDefault="00CD24FD">
      <w:pPr>
        <w:pStyle w:val="N03Y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>ODLUKU</w:t>
      </w:r>
    </w:p>
    <w:p w:rsidR="00CD0001" w:rsidRPr="003D4133" w:rsidRDefault="00CD0001">
      <w:pPr>
        <w:pStyle w:val="N03Y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donošen</w:t>
      </w:r>
      <w:r w:rsidR="008F4461" w:rsidRPr="003D4133">
        <w:rPr>
          <w:rFonts w:asciiTheme="minorHAnsi" w:hAnsiTheme="minorHAnsi" w:cstheme="minorHAnsi"/>
          <w:sz w:val="24"/>
          <w:szCs w:val="24"/>
        </w:rPr>
        <w:t>ju</w:t>
      </w:r>
      <w:proofErr w:type="spellEnd"/>
      <w:r w:rsidR="008F4461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F4461" w:rsidRPr="003D4133">
        <w:rPr>
          <w:rFonts w:asciiTheme="minorHAnsi" w:hAnsiTheme="minorHAnsi" w:cstheme="minorHAnsi"/>
          <w:sz w:val="24"/>
          <w:szCs w:val="24"/>
        </w:rPr>
        <w:t>mjera</w:t>
      </w:r>
      <w:proofErr w:type="spellEnd"/>
      <w:r w:rsidR="008F4461" w:rsidRPr="003D4133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8F4461" w:rsidRPr="003D4133">
        <w:rPr>
          <w:rFonts w:asciiTheme="minorHAnsi" w:hAnsiTheme="minorHAnsi" w:cstheme="minorHAnsi"/>
          <w:sz w:val="24"/>
          <w:szCs w:val="24"/>
        </w:rPr>
        <w:t>podršku</w:t>
      </w:r>
      <w:proofErr w:type="spellEnd"/>
      <w:r w:rsidR="008F4461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F4461" w:rsidRPr="003D4133">
        <w:rPr>
          <w:rFonts w:asciiTheme="minorHAnsi" w:hAnsiTheme="minorHAnsi" w:cstheme="minorHAnsi"/>
          <w:sz w:val="24"/>
          <w:szCs w:val="24"/>
        </w:rPr>
        <w:t>privredi</w:t>
      </w:r>
      <w:proofErr w:type="spellEnd"/>
      <w:r w:rsidR="008F4461"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8F4461" w:rsidRPr="003D4133">
        <w:rPr>
          <w:rFonts w:asciiTheme="minorHAnsi" w:hAnsiTheme="minorHAnsi" w:cstheme="minorHAnsi"/>
          <w:sz w:val="24"/>
          <w:szCs w:val="24"/>
        </w:rPr>
        <w:t>O</w:t>
      </w:r>
      <w:r w:rsidRPr="003D4133">
        <w:rPr>
          <w:rFonts w:asciiTheme="minorHAnsi" w:hAnsiTheme="minorHAnsi" w:cstheme="minorHAnsi"/>
          <w:sz w:val="24"/>
          <w:szCs w:val="24"/>
        </w:rPr>
        <w:t>pštini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Tivat</w:t>
      </w:r>
    </w:p>
    <w:p w:rsidR="00CD0001" w:rsidRPr="003D4133" w:rsidRDefault="00CD0001">
      <w:pPr>
        <w:pStyle w:val="C30X"/>
        <w:rPr>
          <w:rFonts w:asciiTheme="minorHAnsi" w:hAnsiTheme="minorHAnsi" w:cstheme="minorHAnsi"/>
        </w:rPr>
      </w:pPr>
      <w:proofErr w:type="spellStart"/>
      <w:r w:rsidRPr="003D4133">
        <w:rPr>
          <w:rFonts w:asciiTheme="minorHAnsi" w:hAnsiTheme="minorHAnsi" w:cstheme="minorHAnsi"/>
        </w:rPr>
        <w:t>Član</w:t>
      </w:r>
      <w:proofErr w:type="spellEnd"/>
      <w:r w:rsidRPr="003D4133">
        <w:rPr>
          <w:rFonts w:asciiTheme="minorHAnsi" w:hAnsiTheme="minorHAnsi" w:cstheme="minorHAnsi"/>
        </w:rPr>
        <w:t xml:space="preserve"> 1</w:t>
      </w:r>
    </w:p>
    <w:p w:rsidR="00CD0001" w:rsidRPr="003D4133" w:rsidRDefault="00CD0001" w:rsidP="00CD24FD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Ovom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odlukom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utvrđuju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mjere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koje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imaju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cilj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ublaže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finansijske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posljedice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nastale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usled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A2F4B" w:rsidRPr="003D4133">
        <w:rPr>
          <w:rFonts w:asciiTheme="minorHAnsi" w:hAnsiTheme="minorHAnsi" w:cstheme="minorHAnsi"/>
          <w:sz w:val="24"/>
          <w:szCs w:val="24"/>
        </w:rPr>
        <w:t>pandemije</w:t>
      </w:r>
      <w:proofErr w:type="spellEnd"/>
      <w:r w:rsidR="00CA2F4B" w:rsidRPr="003D4133">
        <w:rPr>
          <w:rFonts w:asciiTheme="minorHAnsi" w:hAnsiTheme="minorHAnsi" w:cstheme="minorHAnsi"/>
          <w:sz w:val="24"/>
          <w:szCs w:val="24"/>
        </w:rPr>
        <w:t xml:space="preserve"> COVID-19 u </w:t>
      </w:r>
      <w:proofErr w:type="spellStart"/>
      <w:r w:rsidR="00CA2F4B" w:rsidRPr="003D4133">
        <w:rPr>
          <w:rFonts w:asciiTheme="minorHAnsi" w:hAnsiTheme="minorHAnsi" w:cstheme="minorHAnsi"/>
          <w:sz w:val="24"/>
          <w:szCs w:val="24"/>
        </w:rPr>
        <w:t>O</w:t>
      </w:r>
      <w:r w:rsidRPr="003D4133">
        <w:rPr>
          <w:rFonts w:asciiTheme="minorHAnsi" w:hAnsiTheme="minorHAnsi" w:cstheme="minorHAnsi"/>
          <w:sz w:val="24"/>
          <w:szCs w:val="24"/>
        </w:rPr>
        <w:t>pštini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Tivat.</w:t>
      </w:r>
    </w:p>
    <w:p w:rsidR="00CD0001" w:rsidRPr="003D4133" w:rsidRDefault="00CD0001">
      <w:pPr>
        <w:pStyle w:val="C30X"/>
        <w:rPr>
          <w:rFonts w:asciiTheme="minorHAnsi" w:hAnsiTheme="minorHAnsi" w:cstheme="minorHAnsi"/>
        </w:rPr>
      </w:pPr>
      <w:proofErr w:type="spellStart"/>
      <w:r w:rsidRPr="003D4133">
        <w:rPr>
          <w:rFonts w:asciiTheme="minorHAnsi" w:hAnsiTheme="minorHAnsi" w:cstheme="minorHAnsi"/>
        </w:rPr>
        <w:t>Član</w:t>
      </w:r>
      <w:proofErr w:type="spellEnd"/>
      <w:r w:rsidRPr="003D4133">
        <w:rPr>
          <w:rFonts w:asciiTheme="minorHAnsi" w:hAnsiTheme="minorHAnsi" w:cstheme="minorHAnsi"/>
        </w:rPr>
        <w:t xml:space="preserve"> 2</w:t>
      </w:r>
    </w:p>
    <w:p w:rsidR="00CD0001" w:rsidRPr="003D4133" w:rsidRDefault="00CD0001" w:rsidP="00CD24FD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Svi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izrazi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upotrijebljeni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ovoj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odluci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fizička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lica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muškom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rodu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podrazumijevaju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iste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takve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izraze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fizička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lica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ženskom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rodu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.</w:t>
      </w:r>
    </w:p>
    <w:p w:rsidR="00CD0001" w:rsidRPr="003D4133" w:rsidRDefault="00CD0001">
      <w:pPr>
        <w:pStyle w:val="C30X"/>
        <w:rPr>
          <w:rFonts w:asciiTheme="minorHAnsi" w:hAnsiTheme="minorHAnsi" w:cstheme="minorHAnsi"/>
        </w:rPr>
      </w:pPr>
      <w:proofErr w:type="spellStart"/>
      <w:r w:rsidRPr="003D4133">
        <w:rPr>
          <w:rFonts w:asciiTheme="minorHAnsi" w:hAnsiTheme="minorHAnsi" w:cstheme="minorHAnsi"/>
        </w:rPr>
        <w:t>Član</w:t>
      </w:r>
      <w:proofErr w:type="spellEnd"/>
      <w:r w:rsidRPr="003D4133">
        <w:rPr>
          <w:rFonts w:asciiTheme="minorHAnsi" w:hAnsiTheme="minorHAnsi" w:cstheme="minorHAnsi"/>
        </w:rPr>
        <w:t xml:space="preserve"> 3</w:t>
      </w:r>
    </w:p>
    <w:p w:rsidR="00CD0001" w:rsidRPr="003D4133" w:rsidRDefault="00CD0001" w:rsidP="00CD24FD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 xml:space="preserve">Sekretarijat za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finansije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dužan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je da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prati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mjesečno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ostvarivanje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primitaka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usaglašava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izvršenje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izdataka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prema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utvrđenim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prioritetima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skladu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raspoloživim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sredstvima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odnosno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procentom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ostvarenja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budžeta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kako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bi se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održala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budžetska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ravnoteža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.</w:t>
      </w:r>
    </w:p>
    <w:p w:rsidR="00CD0001" w:rsidRPr="003D4133" w:rsidRDefault="00CD0001">
      <w:pPr>
        <w:pStyle w:val="C30X"/>
        <w:rPr>
          <w:rFonts w:asciiTheme="minorHAnsi" w:hAnsiTheme="minorHAnsi" w:cstheme="minorHAnsi"/>
        </w:rPr>
      </w:pPr>
      <w:proofErr w:type="spellStart"/>
      <w:r w:rsidRPr="003D4133">
        <w:rPr>
          <w:rFonts w:asciiTheme="minorHAnsi" w:hAnsiTheme="minorHAnsi" w:cstheme="minorHAnsi"/>
        </w:rPr>
        <w:t>Član</w:t>
      </w:r>
      <w:proofErr w:type="spellEnd"/>
      <w:r w:rsidRPr="003D4133">
        <w:rPr>
          <w:rFonts w:asciiTheme="minorHAnsi" w:hAnsiTheme="minorHAnsi" w:cstheme="minorHAnsi"/>
        </w:rPr>
        <w:t xml:space="preserve"> 4</w:t>
      </w:r>
    </w:p>
    <w:p w:rsidR="00CD0001" w:rsidRPr="003D4133" w:rsidRDefault="00CD0001" w:rsidP="00CD24FD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Sve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potrošačke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jedinice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dužne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tekuće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rashode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svedu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najmanju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moguću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mjeru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.</w:t>
      </w:r>
    </w:p>
    <w:p w:rsidR="00CD0001" w:rsidRPr="003D4133" w:rsidRDefault="00CD24FD">
      <w:pPr>
        <w:pStyle w:val="C30X"/>
        <w:rPr>
          <w:rFonts w:asciiTheme="minorHAnsi" w:hAnsiTheme="minorHAnsi" w:cstheme="minorHAnsi"/>
        </w:rPr>
      </w:pPr>
      <w:proofErr w:type="spellStart"/>
      <w:r w:rsidRPr="003D4133">
        <w:rPr>
          <w:rFonts w:asciiTheme="minorHAnsi" w:hAnsiTheme="minorHAnsi" w:cstheme="minorHAnsi"/>
        </w:rPr>
        <w:t>Član</w:t>
      </w:r>
      <w:proofErr w:type="spellEnd"/>
      <w:r w:rsidRPr="003D4133">
        <w:rPr>
          <w:rFonts w:asciiTheme="minorHAnsi" w:hAnsiTheme="minorHAnsi" w:cstheme="minorHAnsi"/>
        </w:rPr>
        <w:t xml:space="preserve"> 5</w:t>
      </w:r>
    </w:p>
    <w:p w:rsidR="00AA43CB" w:rsidRPr="003D4133" w:rsidRDefault="00AA43CB" w:rsidP="00CD24FD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Oslobađaju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se od </w:t>
      </w:r>
      <w:proofErr w:type="spellStart"/>
      <w:r w:rsidR="009E2E8A" w:rsidRPr="003D4133">
        <w:rPr>
          <w:rFonts w:asciiTheme="minorHAnsi" w:hAnsiTheme="minorHAnsi" w:cstheme="minorHAnsi"/>
          <w:sz w:val="24"/>
          <w:szCs w:val="24"/>
        </w:rPr>
        <w:t>obaveze</w:t>
      </w:r>
      <w:proofErr w:type="spellEnd"/>
      <w:r w:rsidR="009E2E8A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plaćanja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osnovu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prireza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porezu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dohodak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fizičkih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lica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privredni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subjekti</w:t>
      </w:r>
      <w:proofErr w:type="spellEnd"/>
      <w:r w:rsidR="002C43AF" w:rsidRPr="003D4133">
        <w:rPr>
          <w:rFonts w:asciiTheme="minorHAnsi" w:hAnsiTheme="minorHAnsi" w:cstheme="minorHAnsi"/>
          <w:sz w:val="24"/>
          <w:szCs w:val="24"/>
        </w:rPr>
        <w:t xml:space="preserve"> </w:t>
      </w:r>
      <w:r w:rsidRPr="003D4133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djelatnostima</w:t>
      </w:r>
      <w:proofErr w:type="spellEnd"/>
      <w:r w:rsidR="002C43AF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43AF" w:rsidRPr="003D4133">
        <w:rPr>
          <w:rFonts w:asciiTheme="minorHAnsi" w:hAnsiTheme="minorHAnsi" w:cstheme="minorHAnsi"/>
          <w:sz w:val="24"/>
          <w:szCs w:val="24"/>
        </w:rPr>
        <w:t>čiji</w:t>
      </w:r>
      <w:proofErr w:type="spellEnd"/>
      <w:r w:rsidR="002C43AF" w:rsidRPr="003D4133">
        <w:rPr>
          <w:rFonts w:asciiTheme="minorHAnsi" w:hAnsiTheme="minorHAnsi" w:cstheme="minorHAnsi"/>
          <w:sz w:val="24"/>
          <w:szCs w:val="24"/>
        </w:rPr>
        <w:t xml:space="preserve"> je rad </w:t>
      </w:r>
      <w:proofErr w:type="spellStart"/>
      <w:r w:rsidR="002C43AF" w:rsidRPr="003D4133">
        <w:rPr>
          <w:rFonts w:asciiTheme="minorHAnsi" w:hAnsiTheme="minorHAnsi" w:cstheme="minorHAnsi"/>
          <w:sz w:val="24"/>
          <w:szCs w:val="24"/>
        </w:rPr>
        <w:t>zabranjen</w:t>
      </w:r>
      <w:proofErr w:type="spellEnd"/>
      <w:r w:rsidR="002C43AF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43AF" w:rsidRPr="003D4133">
        <w:rPr>
          <w:rFonts w:asciiTheme="minorHAnsi" w:hAnsiTheme="minorHAnsi" w:cstheme="minorHAnsi"/>
          <w:sz w:val="24"/>
          <w:szCs w:val="24"/>
        </w:rPr>
        <w:t>Naredbom</w:t>
      </w:r>
      <w:proofErr w:type="spellEnd"/>
      <w:r w:rsidR="002C43AF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43AF" w:rsidRPr="003D4133">
        <w:rPr>
          <w:rFonts w:asciiTheme="minorHAnsi" w:hAnsiTheme="minorHAnsi" w:cstheme="minorHAnsi"/>
          <w:sz w:val="24"/>
          <w:szCs w:val="24"/>
        </w:rPr>
        <w:t>Ministarstva</w:t>
      </w:r>
      <w:proofErr w:type="spellEnd"/>
      <w:r w:rsidR="002C43AF" w:rsidRPr="003D4133">
        <w:rPr>
          <w:rFonts w:asciiTheme="minorHAnsi" w:hAnsiTheme="minorHAnsi" w:cstheme="minorHAnsi"/>
          <w:sz w:val="24"/>
          <w:szCs w:val="24"/>
        </w:rPr>
        <w:t xml:space="preserve"> zdravlja </w:t>
      </w:r>
      <w:proofErr w:type="spellStart"/>
      <w:r w:rsidR="002C43AF" w:rsidRPr="003D4133">
        <w:rPr>
          <w:rFonts w:asciiTheme="minorHAnsi" w:hAnsiTheme="minorHAnsi" w:cstheme="minorHAnsi"/>
          <w:sz w:val="24"/>
          <w:szCs w:val="24"/>
        </w:rPr>
        <w:t>Crne</w:t>
      </w:r>
      <w:proofErr w:type="spellEnd"/>
      <w:r w:rsidR="002C43AF" w:rsidRPr="003D4133">
        <w:rPr>
          <w:rFonts w:asciiTheme="minorHAnsi" w:hAnsiTheme="minorHAnsi" w:cstheme="minorHAnsi"/>
          <w:sz w:val="24"/>
          <w:szCs w:val="24"/>
        </w:rPr>
        <w:t xml:space="preserve"> Gore,</w:t>
      </w:r>
      <w:r w:rsidRPr="003D4133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9E2E8A" w:rsidRPr="003D4133">
        <w:rPr>
          <w:rFonts w:asciiTheme="minorHAnsi" w:hAnsiTheme="minorHAnsi" w:cstheme="minorHAnsi"/>
          <w:sz w:val="24"/>
          <w:szCs w:val="24"/>
        </w:rPr>
        <w:t>mjesece</w:t>
      </w:r>
      <w:proofErr w:type="spellEnd"/>
      <w:r w:rsidR="009E2E8A"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9E2E8A" w:rsidRPr="003D4133">
        <w:rPr>
          <w:rFonts w:asciiTheme="minorHAnsi" w:hAnsiTheme="minorHAnsi" w:cstheme="minorHAnsi"/>
          <w:sz w:val="24"/>
          <w:szCs w:val="24"/>
        </w:rPr>
        <w:t>kojima</w:t>
      </w:r>
      <w:proofErr w:type="spellEnd"/>
      <w:r w:rsidR="009E2E8A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2E8A" w:rsidRPr="003D4133">
        <w:rPr>
          <w:rFonts w:asciiTheme="minorHAnsi" w:hAnsiTheme="minorHAnsi" w:cstheme="minorHAnsi"/>
          <w:sz w:val="24"/>
          <w:szCs w:val="24"/>
        </w:rPr>
        <w:t>postoji</w:t>
      </w:r>
      <w:proofErr w:type="spellEnd"/>
      <w:r w:rsidR="009E2E8A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zabrana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rada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privrednih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subjekata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,</w:t>
      </w:r>
      <w:r w:rsidR="00707E9E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7E9E" w:rsidRPr="003D4133">
        <w:rPr>
          <w:rFonts w:asciiTheme="minorHAnsi" w:hAnsiTheme="minorHAnsi" w:cstheme="minorHAnsi"/>
          <w:sz w:val="24"/>
          <w:szCs w:val="24"/>
        </w:rPr>
        <w:t>počevši</w:t>
      </w:r>
      <w:proofErr w:type="spellEnd"/>
      <w:r w:rsidR="00707E9E" w:rsidRPr="003D4133">
        <w:rPr>
          <w:rFonts w:asciiTheme="minorHAnsi" w:hAnsiTheme="minorHAnsi" w:cstheme="minorHAnsi"/>
          <w:sz w:val="24"/>
          <w:szCs w:val="24"/>
        </w:rPr>
        <w:t xml:space="preserve"> od 01.02.2021.</w:t>
      </w:r>
      <w:r w:rsidR="003D4133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7E9E" w:rsidRPr="003D4133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="00707E9E" w:rsidRPr="003D4133">
        <w:rPr>
          <w:rFonts w:asciiTheme="minorHAnsi" w:hAnsiTheme="minorHAnsi" w:cstheme="minorHAnsi"/>
          <w:sz w:val="24"/>
          <w:szCs w:val="24"/>
        </w:rPr>
        <w:t>,</w:t>
      </w:r>
      <w:r w:rsidRPr="003D4133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najkasnije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do 01.06.2021.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CD0001" w:rsidRPr="003D4133" w:rsidRDefault="002C19E8">
      <w:pPr>
        <w:pStyle w:val="C30X"/>
        <w:rPr>
          <w:rFonts w:asciiTheme="minorHAnsi" w:hAnsiTheme="minorHAnsi" w:cstheme="minorHAnsi"/>
        </w:rPr>
      </w:pPr>
      <w:proofErr w:type="spellStart"/>
      <w:r w:rsidRPr="003D4133">
        <w:rPr>
          <w:rFonts w:asciiTheme="minorHAnsi" w:hAnsiTheme="minorHAnsi" w:cstheme="minorHAnsi"/>
        </w:rPr>
        <w:t>Član</w:t>
      </w:r>
      <w:proofErr w:type="spellEnd"/>
      <w:r w:rsidRPr="003D4133">
        <w:rPr>
          <w:rFonts w:asciiTheme="minorHAnsi" w:hAnsiTheme="minorHAnsi" w:cstheme="minorHAnsi"/>
        </w:rPr>
        <w:t xml:space="preserve"> 6</w:t>
      </w:r>
    </w:p>
    <w:p w:rsidR="002B5288" w:rsidRPr="003D4133" w:rsidRDefault="002B5288" w:rsidP="002C19E8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Oslobađaju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plaćanja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zakupnine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zakupci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poslovnih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pro</w:t>
      </w:r>
      <w:r w:rsidR="003D4133">
        <w:rPr>
          <w:rFonts w:asciiTheme="minorHAnsi" w:hAnsiTheme="minorHAnsi" w:cstheme="minorHAnsi"/>
          <w:sz w:val="24"/>
          <w:szCs w:val="24"/>
        </w:rPr>
        <w:t>stora</w:t>
      </w:r>
      <w:proofErr w:type="spellEnd"/>
      <w:r w:rsidR="003D413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3D4133">
        <w:rPr>
          <w:rFonts w:asciiTheme="minorHAnsi" w:hAnsiTheme="minorHAnsi" w:cstheme="minorHAnsi"/>
          <w:sz w:val="24"/>
          <w:szCs w:val="24"/>
        </w:rPr>
        <w:t>zemljišta</w:t>
      </w:r>
      <w:proofErr w:type="spellEnd"/>
      <w:r w:rsid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3D4133">
        <w:rPr>
          <w:rFonts w:asciiTheme="minorHAnsi" w:hAnsiTheme="minorHAnsi" w:cstheme="minorHAnsi"/>
          <w:sz w:val="24"/>
          <w:szCs w:val="24"/>
        </w:rPr>
        <w:t>vlasništvu</w:t>
      </w:r>
      <w:proofErr w:type="spellEnd"/>
      <w:r w:rsid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D4133">
        <w:rPr>
          <w:rFonts w:asciiTheme="minorHAnsi" w:hAnsiTheme="minorHAnsi" w:cstheme="minorHAnsi"/>
          <w:sz w:val="24"/>
          <w:szCs w:val="24"/>
        </w:rPr>
        <w:t>O</w:t>
      </w:r>
      <w:r w:rsidRPr="003D4133">
        <w:rPr>
          <w:rFonts w:asciiTheme="minorHAnsi" w:hAnsiTheme="minorHAnsi" w:cstheme="minorHAnsi"/>
          <w:sz w:val="24"/>
          <w:szCs w:val="24"/>
        </w:rPr>
        <w:t>pštine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Tivat,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djelatnostima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čiji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je rad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zabranjen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Naredbom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Ministarstva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zdravlja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Crne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Gore, za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mjesece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kojima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postoji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zabrana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rada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privrednih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subjekata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počevši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od 01.02.2021.</w:t>
      </w:r>
      <w:r w:rsid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najkasnije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do 01.06.2021.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C90B85" w:rsidRPr="003D4133" w:rsidRDefault="00B8779F">
      <w:pPr>
        <w:pStyle w:val="C30X"/>
        <w:rPr>
          <w:rFonts w:asciiTheme="minorHAnsi" w:hAnsiTheme="minorHAnsi" w:cstheme="minorHAnsi"/>
        </w:rPr>
      </w:pPr>
      <w:proofErr w:type="spellStart"/>
      <w:r w:rsidRPr="003D4133">
        <w:rPr>
          <w:rFonts w:asciiTheme="minorHAnsi" w:hAnsiTheme="minorHAnsi" w:cstheme="minorHAnsi"/>
        </w:rPr>
        <w:t>Član</w:t>
      </w:r>
      <w:proofErr w:type="spellEnd"/>
      <w:r w:rsidR="00C90B85" w:rsidRPr="003D4133">
        <w:rPr>
          <w:rFonts w:asciiTheme="minorHAnsi" w:hAnsiTheme="minorHAnsi" w:cstheme="minorHAnsi"/>
        </w:rPr>
        <w:t xml:space="preserve"> </w:t>
      </w:r>
      <w:r w:rsidR="00387A03" w:rsidRPr="003D4133">
        <w:rPr>
          <w:rFonts w:asciiTheme="minorHAnsi" w:hAnsiTheme="minorHAnsi" w:cstheme="minorHAnsi"/>
        </w:rPr>
        <w:t>7</w:t>
      </w:r>
    </w:p>
    <w:p w:rsidR="00C90B85" w:rsidRPr="003D4133" w:rsidRDefault="00C90B85" w:rsidP="00C90B85">
      <w:pPr>
        <w:pStyle w:val="C30X"/>
        <w:jc w:val="both"/>
        <w:rPr>
          <w:rFonts w:asciiTheme="minorHAnsi" w:hAnsiTheme="minorHAnsi" w:cstheme="minorHAnsi"/>
          <w:b w:val="0"/>
        </w:rPr>
      </w:pPr>
      <w:proofErr w:type="spellStart"/>
      <w:r w:rsidRPr="003D4133">
        <w:rPr>
          <w:rFonts w:asciiTheme="minorHAnsi" w:hAnsiTheme="minorHAnsi" w:cstheme="minorHAnsi"/>
          <w:b w:val="0"/>
        </w:rPr>
        <w:t>Oslobađaju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se od </w:t>
      </w:r>
      <w:proofErr w:type="spellStart"/>
      <w:r w:rsidRPr="003D4133">
        <w:rPr>
          <w:rFonts w:asciiTheme="minorHAnsi" w:hAnsiTheme="minorHAnsi" w:cstheme="minorHAnsi"/>
          <w:b w:val="0"/>
        </w:rPr>
        <w:t>plaćanja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lokalne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komunalne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takse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privredni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subjekti</w:t>
      </w:r>
      <w:proofErr w:type="spellEnd"/>
      <w:r w:rsidR="002C43AF" w:rsidRPr="003D4133">
        <w:rPr>
          <w:rFonts w:asciiTheme="minorHAnsi" w:hAnsiTheme="minorHAnsi" w:cstheme="minorHAnsi"/>
          <w:b w:val="0"/>
        </w:rPr>
        <w:t xml:space="preserve"> u</w:t>
      </w:r>
      <w:r w:rsidRPr="003D4133">
        <w:rPr>
          <w:rFonts w:asciiTheme="minorHAnsi" w:hAnsiTheme="minorHAnsi" w:cstheme="minorHAnsi"/>
        </w:rPr>
        <w:t xml:space="preserve"> </w:t>
      </w:r>
      <w:proofErr w:type="spellStart"/>
      <w:r w:rsidR="002C43AF" w:rsidRPr="003D4133">
        <w:rPr>
          <w:rFonts w:asciiTheme="minorHAnsi" w:hAnsiTheme="minorHAnsi" w:cstheme="minorHAnsi"/>
          <w:b w:val="0"/>
        </w:rPr>
        <w:t>djelatnostima</w:t>
      </w:r>
      <w:proofErr w:type="spellEnd"/>
      <w:r w:rsidR="002C43AF"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="002C43AF" w:rsidRPr="003D4133">
        <w:rPr>
          <w:rFonts w:asciiTheme="minorHAnsi" w:hAnsiTheme="minorHAnsi" w:cstheme="minorHAnsi"/>
          <w:b w:val="0"/>
        </w:rPr>
        <w:t>čiji</w:t>
      </w:r>
      <w:proofErr w:type="spellEnd"/>
      <w:r w:rsidR="002C43AF" w:rsidRPr="003D4133">
        <w:rPr>
          <w:rFonts w:asciiTheme="minorHAnsi" w:hAnsiTheme="minorHAnsi" w:cstheme="minorHAnsi"/>
          <w:b w:val="0"/>
        </w:rPr>
        <w:t xml:space="preserve"> je rad </w:t>
      </w:r>
      <w:proofErr w:type="spellStart"/>
      <w:r w:rsidR="002C43AF" w:rsidRPr="003D4133">
        <w:rPr>
          <w:rFonts w:asciiTheme="minorHAnsi" w:hAnsiTheme="minorHAnsi" w:cstheme="minorHAnsi"/>
          <w:b w:val="0"/>
        </w:rPr>
        <w:t>zabranjen</w:t>
      </w:r>
      <w:proofErr w:type="spellEnd"/>
      <w:r w:rsidR="002C43AF"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="002C43AF" w:rsidRPr="003D4133">
        <w:rPr>
          <w:rFonts w:asciiTheme="minorHAnsi" w:hAnsiTheme="minorHAnsi" w:cstheme="minorHAnsi"/>
          <w:b w:val="0"/>
        </w:rPr>
        <w:t>Naredbom</w:t>
      </w:r>
      <w:proofErr w:type="spellEnd"/>
      <w:r w:rsidR="002C43AF"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="002C43AF" w:rsidRPr="003D4133">
        <w:rPr>
          <w:rFonts w:asciiTheme="minorHAnsi" w:hAnsiTheme="minorHAnsi" w:cstheme="minorHAnsi"/>
          <w:b w:val="0"/>
        </w:rPr>
        <w:t>Ministarstva</w:t>
      </w:r>
      <w:proofErr w:type="spellEnd"/>
      <w:r w:rsidR="002C43AF" w:rsidRPr="003D4133">
        <w:rPr>
          <w:rFonts w:asciiTheme="minorHAnsi" w:hAnsiTheme="minorHAnsi" w:cstheme="minorHAnsi"/>
          <w:b w:val="0"/>
        </w:rPr>
        <w:t xml:space="preserve"> zdravlja </w:t>
      </w:r>
      <w:proofErr w:type="spellStart"/>
      <w:r w:rsidR="002C43AF" w:rsidRPr="003D4133">
        <w:rPr>
          <w:rFonts w:asciiTheme="minorHAnsi" w:hAnsiTheme="minorHAnsi" w:cstheme="minorHAnsi"/>
          <w:b w:val="0"/>
        </w:rPr>
        <w:t>Crne</w:t>
      </w:r>
      <w:proofErr w:type="spellEnd"/>
      <w:r w:rsidR="002C43AF" w:rsidRPr="003D4133">
        <w:rPr>
          <w:rFonts w:asciiTheme="minorHAnsi" w:hAnsiTheme="minorHAnsi" w:cstheme="minorHAnsi"/>
          <w:b w:val="0"/>
        </w:rPr>
        <w:t xml:space="preserve"> Gore za period </w:t>
      </w:r>
      <w:proofErr w:type="spellStart"/>
      <w:r w:rsidR="002C43AF" w:rsidRPr="003D4133">
        <w:rPr>
          <w:rFonts w:asciiTheme="minorHAnsi" w:hAnsiTheme="minorHAnsi" w:cstheme="minorHAnsi"/>
          <w:b w:val="0"/>
        </w:rPr>
        <w:t>dok</w:t>
      </w:r>
      <w:proofErr w:type="spellEnd"/>
      <w:r w:rsidR="002C43AF"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="002C43AF" w:rsidRPr="003D4133">
        <w:rPr>
          <w:rFonts w:asciiTheme="minorHAnsi" w:hAnsiTheme="minorHAnsi" w:cstheme="minorHAnsi"/>
          <w:b w:val="0"/>
        </w:rPr>
        <w:t>traje</w:t>
      </w:r>
      <w:proofErr w:type="spellEnd"/>
      <w:r w:rsidR="002C43AF"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="002C43AF" w:rsidRPr="003D4133">
        <w:rPr>
          <w:rFonts w:asciiTheme="minorHAnsi" w:hAnsiTheme="minorHAnsi" w:cstheme="minorHAnsi"/>
          <w:b w:val="0"/>
        </w:rPr>
        <w:t>zabrana</w:t>
      </w:r>
      <w:proofErr w:type="spellEnd"/>
      <w:r w:rsidR="002C43AF"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="002C43AF" w:rsidRPr="003D4133">
        <w:rPr>
          <w:rFonts w:asciiTheme="minorHAnsi" w:hAnsiTheme="minorHAnsi" w:cstheme="minorHAnsi"/>
          <w:b w:val="0"/>
        </w:rPr>
        <w:t>rada</w:t>
      </w:r>
      <w:proofErr w:type="spellEnd"/>
      <w:r w:rsidR="002C43AF" w:rsidRPr="003D4133">
        <w:rPr>
          <w:rFonts w:asciiTheme="minorHAnsi" w:hAnsiTheme="minorHAnsi" w:cstheme="minorHAnsi"/>
          <w:b w:val="0"/>
        </w:rPr>
        <w:t>,</w:t>
      </w:r>
      <w:r w:rsidR="005C75AB"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="005C75AB" w:rsidRPr="003D4133">
        <w:rPr>
          <w:rFonts w:asciiTheme="minorHAnsi" w:hAnsiTheme="minorHAnsi" w:cstheme="minorHAnsi"/>
          <w:b w:val="0"/>
        </w:rPr>
        <w:t>počevši</w:t>
      </w:r>
      <w:proofErr w:type="spellEnd"/>
      <w:r w:rsidR="005C75AB" w:rsidRPr="003D4133">
        <w:rPr>
          <w:rFonts w:asciiTheme="minorHAnsi" w:hAnsiTheme="minorHAnsi" w:cstheme="minorHAnsi"/>
          <w:b w:val="0"/>
        </w:rPr>
        <w:t xml:space="preserve"> od 01.02.2021.</w:t>
      </w:r>
      <w:r w:rsid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="005C75AB" w:rsidRPr="003D4133">
        <w:rPr>
          <w:rFonts w:asciiTheme="minorHAnsi" w:hAnsiTheme="minorHAnsi" w:cstheme="minorHAnsi"/>
          <w:b w:val="0"/>
        </w:rPr>
        <w:t>godine</w:t>
      </w:r>
      <w:proofErr w:type="spellEnd"/>
      <w:r w:rsidR="005C75AB" w:rsidRPr="003D4133">
        <w:rPr>
          <w:rFonts w:asciiTheme="minorHAnsi" w:hAnsiTheme="minorHAnsi" w:cstheme="minorHAnsi"/>
          <w:b w:val="0"/>
        </w:rPr>
        <w:t>,</w:t>
      </w:r>
      <w:r w:rsidR="002C43AF" w:rsidRPr="003D4133">
        <w:rPr>
          <w:rFonts w:asciiTheme="minorHAnsi" w:hAnsiTheme="minorHAnsi" w:cstheme="minorHAnsi"/>
          <w:b w:val="0"/>
        </w:rPr>
        <w:t xml:space="preserve"> </w:t>
      </w:r>
      <w:r w:rsidRPr="003D4133">
        <w:rPr>
          <w:rFonts w:asciiTheme="minorHAnsi" w:hAnsiTheme="minorHAnsi" w:cstheme="minorHAnsi"/>
          <w:b w:val="0"/>
        </w:rPr>
        <w:t xml:space="preserve">a </w:t>
      </w:r>
      <w:proofErr w:type="spellStart"/>
      <w:r w:rsidRPr="003D4133">
        <w:rPr>
          <w:rFonts w:asciiTheme="minorHAnsi" w:hAnsiTheme="minorHAnsi" w:cstheme="minorHAnsi"/>
          <w:b w:val="0"/>
        </w:rPr>
        <w:t>najkasnije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do 01.06.2021. </w:t>
      </w:r>
      <w:proofErr w:type="spellStart"/>
      <w:r w:rsidRPr="003D4133">
        <w:rPr>
          <w:rFonts w:asciiTheme="minorHAnsi" w:hAnsiTheme="minorHAnsi" w:cstheme="minorHAnsi"/>
          <w:b w:val="0"/>
        </w:rPr>
        <w:t>godine</w:t>
      </w:r>
      <w:proofErr w:type="spellEnd"/>
      <w:r w:rsidRPr="003D4133">
        <w:rPr>
          <w:rFonts w:asciiTheme="minorHAnsi" w:hAnsiTheme="minorHAnsi" w:cstheme="minorHAnsi"/>
          <w:b w:val="0"/>
        </w:rPr>
        <w:t>.</w:t>
      </w:r>
    </w:p>
    <w:p w:rsidR="00C8540F" w:rsidRPr="003D4133" w:rsidRDefault="00C8540F" w:rsidP="00C90B85">
      <w:pPr>
        <w:pStyle w:val="C30X"/>
        <w:jc w:val="both"/>
        <w:rPr>
          <w:rFonts w:asciiTheme="minorHAnsi" w:hAnsiTheme="minorHAnsi" w:cstheme="minorHAnsi"/>
          <w:b w:val="0"/>
        </w:rPr>
      </w:pPr>
      <w:proofErr w:type="spellStart"/>
      <w:r w:rsidRPr="003D4133">
        <w:rPr>
          <w:rFonts w:asciiTheme="minorHAnsi" w:hAnsiTheme="minorHAnsi" w:cstheme="minorHAnsi"/>
          <w:b w:val="0"/>
        </w:rPr>
        <w:t>Oslobađanje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se ne </w:t>
      </w:r>
      <w:proofErr w:type="spellStart"/>
      <w:r w:rsidRPr="003D4133">
        <w:rPr>
          <w:rFonts w:asciiTheme="minorHAnsi" w:hAnsiTheme="minorHAnsi" w:cstheme="minorHAnsi"/>
          <w:b w:val="0"/>
        </w:rPr>
        <w:t>odnosi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na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lokalne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komunalne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takse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obuhvaćene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tarifnim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brojem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2, </w:t>
      </w:r>
      <w:proofErr w:type="spellStart"/>
      <w:r w:rsidRPr="003D4133">
        <w:rPr>
          <w:rFonts w:asciiTheme="minorHAnsi" w:hAnsiTheme="minorHAnsi" w:cstheme="minorHAnsi"/>
          <w:b w:val="0"/>
        </w:rPr>
        <w:t>Odluke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o </w:t>
      </w:r>
      <w:proofErr w:type="spellStart"/>
      <w:r w:rsidRPr="003D4133">
        <w:rPr>
          <w:rFonts w:asciiTheme="minorHAnsi" w:hAnsiTheme="minorHAnsi" w:cstheme="minorHAnsi"/>
          <w:b w:val="0"/>
        </w:rPr>
        <w:t>lokalnim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komunalnim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taksama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Opštine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Tivat ("</w:t>
      </w:r>
      <w:proofErr w:type="spellStart"/>
      <w:r w:rsidRPr="003D4133">
        <w:rPr>
          <w:rFonts w:asciiTheme="minorHAnsi" w:hAnsiTheme="minorHAnsi" w:cstheme="minorHAnsi"/>
          <w:b w:val="0"/>
        </w:rPr>
        <w:t>Službeni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list </w:t>
      </w:r>
      <w:proofErr w:type="spellStart"/>
      <w:r w:rsidRPr="003D4133">
        <w:rPr>
          <w:rFonts w:asciiTheme="minorHAnsi" w:hAnsiTheme="minorHAnsi" w:cstheme="minorHAnsi"/>
          <w:b w:val="0"/>
        </w:rPr>
        <w:t>Crne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Gore - </w:t>
      </w:r>
      <w:proofErr w:type="spellStart"/>
      <w:r w:rsidRPr="003D4133">
        <w:rPr>
          <w:rFonts w:asciiTheme="minorHAnsi" w:hAnsiTheme="minorHAnsi" w:cstheme="minorHAnsi"/>
          <w:b w:val="0"/>
        </w:rPr>
        <w:t>opštinski</w:t>
      </w:r>
      <w:proofErr w:type="spellEnd"/>
      <w:r w:rsidRPr="003D41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3D4133">
        <w:rPr>
          <w:rFonts w:asciiTheme="minorHAnsi" w:hAnsiTheme="minorHAnsi" w:cstheme="minorHAnsi"/>
          <w:b w:val="0"/>
        </w:rPr>
        <w:t>propisi</w:t>
      </w:r>
      <w:proofErr w:type="spellEnd"/>
      <w:r w:rsidRPr="003D4133">
        <w:rPr>
          <w:rFonts w:asciiTheme="minorHAnsi" w:hAnsiTheme="minorHAnsi" w:cstheme="minorHAnsi"/>
          <w:b w:val="0"/>
        </w:rPr>
        <w:t>", br. 018/20 od 05.06.2020)</w:t>
      </w:r>
      <w:r w:rsidR="005142AA" w:rsidRPr="003D4133">
        <w:rPr>
          <w:rFonts w:asciiTheme="minorHAnsi" w:hAnsiTheme="minorHAnsi" w:cstheme="minorHAnsi"/>
          <w:b w:val="0"/>
        </w:rPr>
        <w:t>.</w:t>
      </w:r>
    </w:p>
    <w:p w:rsidR="00CD0001" w:rsidRPr="003D4133" w:rsidRDefault="00AD3F2B">
      <w:pPr>
        <w:pStyle w:val="C30X"/>
        <w:rPr>
          <w:rFonts w:asciiTheme="minorHAnsi" w:hAnsiTheme="minorHAnsi" w:cstheme="minorHAnsi"/>
        </w:rPr>
      </w:pPr>
      <w:proofErr w:type="spellStart"/>
      <w:r w:rsidRPr="003D4133">
        <w:rPr>
          <w:rFonts w:asciiTheme="minorHAnsi" w:hAnsiTheme="minorHAnsi" w:cstheme="minorHAnsi"/>
        </w:rPr>
        <w:t>Član</w:t>
      </w:r>
      <w:proofErr w:type="spellEnd"/>
      <w:r w:rsidRPr="003D4133">
        <w:rPr>
          <w:rFonts w:asciiTheme="minorHAnsi" w:hAnsiTheme="minorHAnsi" w:cstheme="minorHAnsi"/>
        </w:rPr>
        <w:t xml:space="preserve"> </w:t>
      </w:r>
      <w:r w:rsidR="00387A03" w:rsidRPr="003D4133">
        <w:rPr>
          <w:rFonts w:asciiTheme="minorHAnsi" w:hAnsiTheme="minorHAnsi" w:cstheme="minorHAnsi"/>
        </w:rPr>
        <w:t>8</w:t>
      </w:r>
    </w:p>
    <w:p w:rsidR="002B5288" w:rsidRPr="003D4133" w:rsidRDefault="002B5288" w:rsidP="002B5288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Oslobađaju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se od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plaćanja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naknade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licencu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taxi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udruženja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preduzetnici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za 2021.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godinu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.</w:t>
      </w:r>
    </w:p>
    <w:p w:rsidR="00387A03" w:rsidRPr="003D4133" w:rsidRDefault="00387A03" w:rsidP="00C90B85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</w:p>
    <w:p w:rsidR="00387A03" w:rsidRPr="003D4133" w:rsidRDefault="00387A03" w:rsidP="00C90B85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</w:p>
    <w:p w:rsidR="004A2FFF" w:rsidRPr="003D4133" w:rsidRDefault="004A2FFF" w:rsidP="00C90B85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</w:p>
    <w:p w:rsidR="004A2FFF" w:rsidRPr="003D4133" w:rsidRDefault="004A2FFF" w:rsidP="00C90B85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</w:p>
    <w:p w:rsidR="004A2FFF" w:rsidRPr="003D4133" w:rsidRDefault="004A2FFF" w:rsidP="00C90B85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</w:p>
    <w:p w:rsidR="00AA43CB" w:rsidRPr="003D4133" w:rsidRDefault="00AA43CB" w:rsidP="00AA43CB">
      <w:pPr>
        <w:pStyle w:val="C30X"/>
        <w:rPr>
          <w:rFonts w:asciiTheme="minorHAnsi" w:hAnsiTheme="minorHAnsi" w:cstheme="minorHAnsi"/>
        </w:rPr>
      </w:pPr>
      <w:proofErr w:type="spellStart"/>
      <w:r w:rsidRPr="003D4133">
        <w:rPr>
          <w:rFonts w:asciiTheme="minorHAnsi" w:hAnsiTheme="minorHAnsi" w:cstheme="minorHAnsi"/>
        </w:rPr>
        <w:t>Član</w:t>
      </w:r>
      <w:proofErr w:type="spellEnd"/>
      <w:r w:rsidRPr="003D4133">
        <w:rPr>
          <w:rFonts w:asciiTheme="minorHAnsi" w:hAnsiTheme="minorHAnsi" w:cstheme="minorHAnsi"/>
        </w:rPr>
        <w:t xml:space="preserve"> </w:t>
      </w:r>
      <w:r w:rsidR="00387A03" w:rsidRPr="003D4133">
        <w:rPr>
          <w:rFonts w:asciiTheme="minorHAnsi" w:hAnsiTheme="minorHAnsi" w:cstheme="minorHAnsi"/>
        </w:rPr>
        <w:t>9</w:t>
      </w:r>
    </w:p>
    <w:p w:rsidR="00AA43CB" w:rsidRPr="003D4133" w:rsidRDefault="00AA43CB" w:rsidP="00AA43CB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 xml:space="preserve">Sekretarijat za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privredu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će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donijeti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olakšavajuće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procedure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radi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korišćenja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podsticajnih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mjera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poljoprivredi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i to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uvođenjem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avansnog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plaćanja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kod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nabavke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određenih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sredstava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poljoprivrednu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proizvodnju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toku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2021.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,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sledećim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oblastima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:</w:t>
      </w:r>
    </w:p>
    <w:p w:rsidR="00AA43CB" w:rsidRPr="003D4133" w:rsidRDefault="00AA43CB" w:rsidP="00AA43CB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 xml:space="preserve">   -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Podrške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razvoju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voćarske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vinogradarske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proizvodnje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;</w:t>
      </w:r>
    </w:p>
    <w:p w:rsidR="00AA43CB" w:rsidRPr="003D4133" w:rsidRDefault="00AA43CB" w:rsidP="00AA43CB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 xml:space="preserve">   -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Podrške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razvoju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maslinarstva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marikulture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;</w:t>
      </w:r>
    </w:p>
    <w:p w:rsidR="00AA43CB" w:rsidRPr="003D4133" w:rsidRDefault="00AA43CB" w:rsidP="00AA43CB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 xml:space="preserve">   -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Podrške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razvoju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povrtarske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cvjećarske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proizvodnje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;</w:t>
      </w:r>
    </w:p>
    <w:p w:rsidR="00AA43CB" w:rsidRPr="003D4133" w:rsidRDefault="00AA43CB" w:rsidP="00AA43CB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 xml:space="preserve">   -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Podrške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razvoju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pčelarstva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;</w:t>
      </w:r>
    </w:p>
    <w:p w:rsidR="00AA43CB" w:rsidRPr="003D4133" w:rsidRDefault="00AA43CB" w:rsidP="00AA43CB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 xml:space="preserve">   -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Podrške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razvoju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organske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poljoprivrede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;</w:t>
      </w:r>
    </w:p>
    <w:p w:rsidR="00AA43CB" w:rsidRPr="003D4133" w:rsidRDefault="00AA43CB" w:rsidP="00AA43CB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 xml:space="preserve">   -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Podrške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održivom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upravljanju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zelenim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otpadom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poljoprivredne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proizvodnje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.</w:t>
      </w:r>
    </w:p>
    <w:p w:rsidR="00CD0001" w:rsidRPr="003D4133" w:rsidRDefault="00CD0001">
      <w:pPr>
        <w:pStyle w:val="C30X"/>
        <w:rPr>
          <w:rFonts w:asciiTheme="minorHAnsi" w:hAnsiTheme="minorHAnsi" w:cstheme="minorHAnsi"/>
        </w:rPr>
      </w:pPr>
      <w:proofErr w:type="spellStart"/>
      <w:r w:rsidRPr="003D4133">
        <w:rPr>
          <w:rFonts w:asciiTheme="minorHAnsi" w:hAnsiTheme="minorHAnsi" w:cstheme="minorHAnsi"/>
        </w:rPr>
        <w:t>Član</w:t>
      </w:r>
      <w:proofErr w:type="spellEnd"/>
      <w:r w:rsidRPr="003D4133">
        <w:rPr>
          <w:rFonts w:asciiTheme="minorHAnsi" w:hAnsiTheme="minorHAnsi" w:cstheme="minorHAnsi"/>
        </w:rPr>
        <w:t xml:space="preserve"> 1</w:t>
      </w:r>
      <w:r w:rsidR="00AD3F2B" w:rsidRPr="003D4133">
        <w:rPr>
          <w:rFonts w:asciiTheme="minorHAnsi" w:hAnsiTheme="minorHAnsi" w:cstheme="minorHAnsi"/>
        </w:rPr>
        <w:t>1</w:t>
      </w:r>
    </w:p>
    <w:p w:rsidR="00C90B85" w:rsidRPr="003D4133" w:rsidRDefault="00C90B85" w:rsidP="00C90B85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Preporučuje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se DOO "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Komunalno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" Tivat, DOO "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Vodovod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kanalizacija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" Tivat, DOO "Parking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servis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" Tivat da za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korisnike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njihovih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usluga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,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djelatnostima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čiji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je rad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zabranjen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naredbom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Ministarstva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zdravlja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Crne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Gore i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koji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obrate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zahtjevom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iste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obračunavaju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srazmjerno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vremenu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kojem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usluge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koristili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.</w:t>
      </w:r>
    </w:p>
    <w:p w:rsidR="002C19E8" w:rsidRPr="003D4133" w:rsidRDefault="002C19E8" w:rsidP="002C19E8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</w:p>
    <w:p w:rsidR="00C90B85" w:rsidRPr="003D4133" w:rsidRDefault="00C90B85" w:rsidP="00C90B85">
      <w:pPr>
        <w:pStyle w:val="T30X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3D4133">
        <w:rPr>
          <w:rFonts w:asciiTheme="minorHAnsi" w:hAnsiTheme="minorHAnsi" w:cstheme="minorHAnsi"/>
          <w:b/>
          <w:sz w:val="24"/>
          <w:szCs w:val="24"/>
        </w:rPr>
        <w:t>Član</w:t>
      </w:r>
      <w:proofErr w:type="spellEnd"/>
      <w:r w:rsidRPr="003D4133">
        <w:rPr>
          <w:rFonts w:asciiTheme="minorHAnsi" w:hAnsiTheme="minorHAnsi" w:cstheme="minorHAnsi"/>
          <w:b/>
          <w:sz w:val="24"/>
          <w:szCs w:val="24"/>
        </w:rPr>
        <w:t xml:space="preserve"> 12</w:t>
      </w:r>
    </w:p>
    <w:p w:rsidR="00CD0001" w:rsidRPr="003D4133" w:rsidRDefault="00CD0001" w:rsidP="002C19E8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Preporučuje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privrednim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društvima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javnim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ustanovama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čiji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osnivač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opština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Tivat, da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oslobode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plaćanja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zakupnine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zakupce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djelatnostima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čiji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je rad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zabranjen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naredbom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Ministarstva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zdravlja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Crne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Gore, za period </w:t>
      </w:r>
      <w:r w:rsidR="002C19E8" w:rsidRPr="003D4133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="002C19E8" w:rsidRPr="003D4133">
        <w:rPr>
          <w:rFonts w:asciiTheme="minorHAnsi" w:hAnsiTheme="minorHAnsi" w:cstheme="minorHAnsi"/>
          <w:sz w:val="24"/>
          <w:szCs w:val="24"/>
        </w:rPr>
        <w:t>kojem</w:t>
      </w:r>
      <w:proofErr w:type="spellEnd"/>
      <w:r w:rsidR="002C19E8" w:rsidRPr="003D4133">
        <w:rPr>
          <w:rFonts w:asciiTheme="minorHAnsi" w:hAnsiTheme="minorHAnsi" w:cstheme="minorHAnsi"/>
          <w:sz w:val="24"/>
          <w:szCs w:val="24"/>
        </w:rPr>
        <w:t xml:space="preserve"> ne </w:t>
      </w:r>
      <w:proofErr w:type="spellStart"/>
      <w:r w:rsidR="002C19E8" w:rsidRPr="003D4133">
        <w:rPr>
          <w:rFonts w:asciiTheme="minorHAnsi" w:hAnsiTheme="minorHAnsi" w:cstheme="minorHAnsi"/>
          <w:sz w:val="24"/>
          <w:szCs w:val="24"/>
        </w:rPr>
        <w:t>obavljaju</w:t>
      </w:r>
      <w:proofErr w:type="spellEnd"/>
      <w:r w:rsidR="002C19E8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19E8" w:rsidRPr="003D4133">
        <w:rPr>
          <w:rFonts w:asciiTheme="minorHAnsi" w:hAnsiTheme="minorHAnsi" w:cstheme="minorHAnsi"/>
          <w:sz w:val="24"/>
          <w:szCs w:val="24"/>
        </w:rPr>
        <w:t>djelatnost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počev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od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važenja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naredbi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Ministrastva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zdravlja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Crne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Gore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zbog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kojih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subjekti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plaćanja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nijesu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obavljali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djelatnost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zahtjev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istih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>.</w:t>
      </w:r>
    </w:p>
    <w:p w:rsidR="00CD0001" w:rsidRPr="003D4133" w:rsidRDefault="00B8779F">
      <w:pPr>
        <w:pStyle w:val="C30X"/>
        <w:rPr>
          <w:rFonts w:asciiTheme="minorHAnsi" w:hAnsiTheme="minorHAnsi" w:cstheme="minorHAnsi"/>
        </w:rPr>
      </w:pPr>
      <w:proofErr w:type="spellStart"/>
      <w:r w:rsidRPr="003D4133">
        <w:rPr>
          <w:rFonts w:asciiTheme="minorHAnsi" w:hAnsiTheme="minorHAnsi" w:cstheme="minorHAnsi"/>
        </w:rPr>
        <w:t>Član</w:t>
      </w:r>
      <w:proofErr w:type="spellEnd"/>
      <w:r w:rsidRPr="003D4133">
        <w:rPr>
          <w:rFonts w:asciiTheme="minorHAnsi" w:hAnsiTheme="minorHAnsi" w:cstheme="minorHAnsi"/>
        </w:rPr>
        <w:t xml:space="preserve"> 1</w:t>
      </w:r>
      <w:r w:rsidR="00C90B85" w:rsidRPr="003D4133">
        <w:rPr>
          <w:rFonts w:asciiTheme="minorHAnsi" w:hAnsiTheme="minorHAnsi" w:cstheme="minorHAnsi"/>
        </w:rPr>
        <w:t>3</w:t>
      </w:r>
    </w:p>
    <w:p w:rsidR="00CD0001" w:rsidRDefault="00CD0001" w:rsidP="00B8779F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 xml:space="preserve">Ova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odluka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stupa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snagu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8779F" w:rsidRPr="003D4133">
        <w:rPr>
          <w:rFonts w:asciiTheme="minorHAnsi" w:hAnsiTheme="minorHAnsi" w:cstheme="minorHAnsi"/>
          <w:sz w:val="24"/>
          <w:szCs w:val="24"/>
        </w:rPr>
        <w:t>osmog</w:t>
      </w:r>
      <w:proofErr w:type="spellEnd"/>
      <w:r w:rsidR="00B8779F" w:rsidRPr="003D4133">
        <w:rPr>
          <w:rFonts w:asciiTheme="minorHAnsi" w:hAnsiTheme="minorHAnsi" w:cstheme="minorHAnsi"/>
          <w:sz w:val="24"/>
          <w:szCs w:val="24"/>
        </w:rPr>
        <w:t xml:space="preserve"> dana od dana </w:t>
      </w:r>
      <w:proofErr w:type="spellStart"/>
      <w:r w:rsidR="00B8779F" w:rsidRPr="003D4133">
        <w:rPr>
          <w:rFonts w:asciiTheme="minorHAnsi" w:hAnsiTheme="minorHAnsi" w:cstheme="minorHAnsi"/>
          <w:sz w:val="24"/>
          <w:szCs w:val="24"/>
        </w:rPr>
        <w:t>objavljivanja</w:t>
      </w:r>
      <w:proofErr w:type="spellEnd"/>
      <w:r w:rsidR="00B8779F" w:rsidRPr="003D4133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B8779F" w:rsidRPr="003D4133">
        <w:rPr>
          <w:rFonts w:asciiTheme="minorHAnsi" w:hAnsiTheme="minorHAnsi" w:cstheme="minorHAnsi"/>
          <w:sz w:val="24"/>
          <w:szCs w:val="24"/>
        </w:rPr>
        <w:t>Službenom</w:t>
      </w:r>
      <w:proofErr w:type="spellEnd"/>
      <w:r w:rsidR="00B8779F"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8779F" w:rsidRPr="003D4133">
        <w:rPr>
          <w:rFonts w:asciiTheme="minorHAnsi" w:hAnsiTheme="minorHAnsi" w:cstheme="minorHAnsi"/>
          <w:sz w:val="24"/>
          <w:szCs w:val="24"/>
        </w:rPr>
        <w:t>listu</w:t>
      </w:r>
      <w:proofErr w:type="spellEnd"/>
      <w:r w:rsidR="00B8779F" w:rsidRPr="003D4133">
        <w:rPr>
          <w:rFonts w:asciiTheme="minorHAnsi" w:hAnsiTheme="minorHAnsi" w:cstheme="minorHAnsi"/>
          <w:sz w:val="24"/>
          <w:szCs w:val="24"/>
        </w:rPr>
        <w:t xml:space="preserve"> CG</w:t>
      </w:r>
      <w:r w:rsidR="00987E98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737F9D">
        <w:rPr>
          <w:rFonts w:asciiTheme="minorHAnsi" w:hAnsiTheme="minorHAnsi" w:cstheme="minorHAnsi"/>
          <w:sz w:val="24"/>
          <w:szCs w:val="24"/>
        </w:rPr>
        <w:t>o</w:t>
      </w:r>
      <w:r w:rsidR="00987E98">
        <w:rPr>
          <w:rFonts w:asciiTheme="minorHAnsi" w:hAnsiTheme="minorHAnsi" w:cstheme="minorHAnsi"/>
          <w:sz w:val="24"/>
          <w:szCs w:val="24"/>
        </w:rPr>
        <w:t>pštinski</w:t>
      </w:r>
      <w:proofErr w:type="spellEnd"/>
      <w:r w:rsidR="00987E9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7E98">
        <w:rPr>
          <w:rFonts w:asciiTheme="minorHAnsi" w:hAnsiTheme="minorHAnsi" w:cstheme="minorHAnsi"/>
          <w:sz w:val="24"/>
          <w:szCs w:val="24"/>
        </w:rPr>
        <w:t>propisi</w:t>
      </w:r>
      <w:proofErr w:type="spellEnd"/>
      <w:r w:rsidR="00B8779F" w:rsidRPr="003D4133">
        <w:rPr>
          <w:rFonts w:asciiTheme="minorHAnsi" w:hAnsiTheme="minorHAnsi" w:cstheme="minorHAnsi"/>
          <w:sz w:val="24"/>
          <w:szCs w:val="24"/>
        </w:rPr>
        <w:t>.</w:t>
      </w:r>
    </w:p>
    <w:p w:rsidR="00737F9D" w:rsidRDefault="00737F9D" w:rsidP="00B8779F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</w:p>
    <w:p w:rsidR="00737F9D" w:rsidRDefault="00737F9D" w:rsidP="00B8779F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</w:p>
    <w:p w:rsidR="00737F9D" w:rsidRDefault="00737F9D" w:rsidP="00B8779F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Fonts w:asciiTheme="minorHAnsi" w:hAnsiTheme="minorHAnsi" w:cstheme="minorHAnsi"/>
          <w:sz w:val="24"/>
          <w:szCs w:val="24"/>
        </w:rPr>
        <w:t>: 03-040/21-96</w:t>
      </w:r>
    </w:p>
    <w:p w:rsidR="00737F9D" w:rsidRPr="003D4133" w:rsidRDefault="00737F9D" w:rsidP="00B8779F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Tivat, 31.</w:t>
      </w:r>
      <w:proofErr w:type="gramStart"/>
      <w:r>
        <w:rPr>
          <w:rFonts w:asciiTheme="minorHAnsi" w:hAnsiTheme="minorHAnsi" w:cstheme="minorHAnsi"/>
          <w:sz w:val="24"/>
          <w:szCs w:val="24"/>
        </w:rPr>
        <w:t>03.2021.godine</w:t>
      </w:r>
      <w:proofErr w:type="gramEnd"/>
    </w:p>
    <w:p w:rsidR="00B8779F" w:rsidRPr="003D4133" w:rsidRDefault="00B8779F">
      <w:pPr>
        <w:pStyle w:val="T30X"/>
        <w:rPr>
          <w:rFonts w:asciiTheme="minorHAnsi" w:hAnsiTheme="minorHAnsi" w:cstheme="minorHAnsi"/>
          <w:sz w:val="24"/>
          <w:szCs w:val="24"/>
        </w:rPr>
      </w:pPr>
    </w:p>
    <w:p w:rsidR="00CD0001" w:rsidRPr="003D4133" w:rsidRDefault="00CD0001">
      <w:pPr>
        <w:pStyle w:val="N01Z"/>
        <w:rPr>
          <w:rFonts w:asciiTheme="minorHAnsi" w:hAnsiTheme="minorHAnsi" w:cstheme="minorHAnsi"/>
          <w:sz w:val="24"/>
          <w:szCs w:val="24"/>
        </w:rPr>
      </w:pPr>
      <w:proofErr w:type="spellStart"/>
      <w:r w:rsidRPr="003D4133">
        <w:rPr>
          <w:rFonts w:asciiTheme="minorHAnsi" w:hAnsiTheme="minorHAnsi" w:cstheme="minorHAnsi"/>
          <w:sz w:val="24"/>
          <w:szCs w:val="24"/>
        </w:rPr>
        <w:t>Skupština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Opštine</w:t>
      </w:r>
      <w:proofErr w:type="spellEnd"/>
      <w:r w:rsidRPr="003D4133">
        <w:rPr>
          <w:rFonts w:asciiTheme="minorHAnsi" w:hAnsiTheme="minorHAnsi" w:cstheme="minorHAnsi"/>
          <w:sz w:val="24"/>
          <w:szCs w:val="24"/>
        </w:rPr>
        <w:t xml:space="preserve"> Tivat</w:t>
      </w:r>
    </w:p>
    <w:p w:rsidR="00CD0001" w:rsidRPr="003D4133" w:rsidRDefault="00737F9D">
      <w:pPr>
        <w:pStyle w:val="N01Z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Predsjednik</w:t>
      </w:r>
    </w:p>
    <w:p w:rsidR="00CD0001" w:rsidRPr="003D4133" w:rsidRDefault="00B8779F">
      <w:pPr>
        <w:pStyle w:val="N01Z"/>
        <w:rPr>
          <w:rFonts w:asciiTheme="minorHAnsi" w:hAnsiTheme="minorHAnsi" w:cstheme="minorHAnsi"/>
          <w:sz w:val="24"/>
          <w:szCs w:val="24"/>
        </w:rPr>
      </w:pPr>
      <w:r w:rsidRPr="003D4133">
        <w:rPr>
          <w:rFonts w:asciiTheme="minorHAnsi" w:hAnsiTheme="minorHAnsi" w:cstheme="minorHAnsi"/>
          <w:sz w:val="24"/>
          <w:szCs w:val="24"/>
        </w:rPr>
        <w:t xml:space="preserve">dr Andrija </w:t>
      </w:r>
      <w:proofErr w:type="spellStart"/>
      <w:r w:rsidRPr="003D4133">
        <w:rPr>
          <w:rFonts w:asciiTheme="minorHAnsi" w:hAnsiTheme="minorHAnsi" w:cstheme="minorHAnsi"/>
          <w:sz w:val="24"/>
          <w:szCs w:val="24"/>
        </w:rPr>
        <w:t>Petković</w:t>
      </w:r>
      <w:proofErr w:type="spellEnd"/>
    </w:p>
    <w:p w:rsidR="00387A03" w:rsidRPr="003D4133" w:rsidRDefault="00387A03">
      <w:pPr>
        <w:pStyle w:val="N01Z"/>
        <w:rPr>
          <w:rFonts w:asciiTheme="minorHAnsi" w:hAnsiTheme="minorHAnsi" w:cstheme="minorHAnsi"/>
          <w:sz w:val="24"/>
          <w:szCs w:val="24"/>
        </w:rPr>
      </w:pPr>
    </w:p>
    <w:p w:rsidR="00387A03" w:rsidRPr="003D4133" w:rsidRDefault="00387A03">
      <w:pPr>
        <w:pStyle w:val="N01Z"/>
        <w:rPr>
          <w:rFonts w:asciiTheme="minorHAnsi" w:hAnsiTheme="minorHAnsi" w:cstheme="minorHAnsi"/>
          <w:sz w:val="24"/>
          <w:szCs w:val="24"/>
        </w:rPr>
      </w:pPr>
    </w:p>
    <w:p w:rsidR="00387A03" w:rsidRPr="003D4133" w:rsidRDefault="00387A03">
      <w:pPr>
        <w:pStyle w:val="N01Z"/>
        <w:rPr>
          <w:rFonts w:asciiTheme="minorHAnsi" w:hAnsiTheme="minorHAnsi" w:cstheme="minorHAnsi"/>
          <w:sz w:val="24"/>
          <w:szCs w:val="24"/>
        </w:rPr>
      </w:pPr>
    </w:p>
    <w:p w:rsidR="00387A03" w:rsidRPr="003D4133" w:rsidRDefault="00387A03">
      <w:pPr>
        <w:pStyle w:val="N01Z"/>
        <w:rPr>
          <w:rFonts w:asciiTheme="minorHAnsi" w:hAnsiTheme="minorHAnsi" w:cstheme="minorHAnsi"/>
          <w:sz w:val="24"/>
          <w:szCs w:val="24"/>
        </w:rPr>
      </w:pPr>
    </w:p>
    <w:p w:rsidR="00387A03" w:rsidRPr="003D4133" w:rsidRDefault="00387A03">
      <w:pPr>
        <w:pStyle w:val="N01Z"/>
        <w:rPr>
          <w:rFonts w:asciiTheme="minorHAnsi" w:hAnsiTheme="minorHAnsi" w:cstheme="minorHAnsi"/>
          <w:sz w:val="24"/>
          <w:szCs w:val="24"/>
        </w:rPr>
      </w:pPr>
    </w:p>
    <w:p w:rsidR="00387A03" w:rsidRPr="003D4133" w:rsidRDefault="00387A03">
      <w:pPr>
        <w:pStyle w:val="N01Z"/>
        <w:rPr>
          <w:rFonts w:asciiTheme="minorHAnsi" w:hAnsiTheme="minorHAnsi" w:cstheme="minorHAnsi"/>
          <w:sz w:val="24"/>
          <w:szCs w:val="24"/>
        </w:rPr>
      </w:pPr>
    </w:p>
    <w:p w:rsidR="00387A03" w:rsidRPr="003D4133" w:rsidRDefault="00387A03">
      <w:pPr>
        <w:pStyle w:val="N01Z"/>
        <w:rPr>
          <w:rFonts w:asciiTheme="minorHAnsi" w:hAnsiTheme="minorHAnsi" w:cstheme="minorHAnsi"/>
          <w:sz w:val="24"/>
          <w:szCs w:val="24"/>
        </w:rPr>
      </w:pPr>
    </w:p>
    <w:p w:rsidR="00387A03" w:rsidRPr="003D4133" w:rsidRDefault="00387A03">
      <w:pPr>
        <w:pStyle w:val="N01Z"/>
        <w:rPr>
          <w:rFonts w:asciiTheme="minorHAnsi" w:hAnsiTheme="minorHAnsi" w:cstheme="minorHAnsi"/>
          <w:sz w:val="24"/>
          <w:szCs w:val="24"/>
        </w:rPr>
      </w:pPr>
    </w:p>
    <w:p w:rsidR="00387A03" w:rsidRPr="003D4133" w:rsidRDefault="00387A03">
      <w:pPr>
        <w:pStyle w:val="N01Z"/>
        <w:rPr>
          <w:rFonts w:asciiTheme="minorHAnsi" w:hAnsiTheme="minorHAnsi" w:cstheme="minorHAnsi"/>
          <w:sz w:val="24"/>
          <w:szCs w:val="24"/>
        </w:rPr>
      </w:pPr>
    </w:p>
    <w:p w:rsidR="00387A03" w:rsidRPr="003D4133" w:rsidRDefault="00387A03">
      <w:pPr>
        <w:pStyle w:val="N01Z"/>
        <w:rPr>
          <w:rFonts w:asciiTheme="minorHAnsi" w:hAnsiTheme="minorHAnsi" w:cstheme="minorHAnsi"/>
          <w:sz w:val="24"/>
          <w:szCs w:val="24"/>
        </w:rPr>
      </w:pPr>
    </w:p>
    <w:p w:rsidR="00387A03" w:rsidRPr="003D4133" w:rsidRDefault="00387A03" w:rsidP="00737F9D">
      <w:pPr>
        <w:pStyle w:val="N01Z"/>
        <w:jc w:val="left"/>
        <w:rPr>
          <w:rFonts w:asciiTheme="minorHAnsi" w:hAnsiTheme="minorHAnsi" w:cstheme="minorHAnsi"/>
          <w:sz w:val="24"/>
          <w:szCs w:val="24"/>
        </w:rPr>
      </w:pPr>
    </w:p>
    <w:sectPr w:rsidR="00387A03" w:rsidRPr="003D4133" w:rsidSect="00D71A14">
      <w:footerReference w:type="even" r:id="rId7"/>
      <w:footerReference w:type="default" r:id="rId8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A6D" w:rsidRDefault="006D6A6D">
      <w:r>
        <w:separator/>
      </w:r>
    </w:p>
  </w:endnote>
  <w:endnote w:type="continuationSeparator" w:id="0">
    <w:p w:rsidR="006D6A6D" w:rsidRDefault="006D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A6D" w:rsidRDefault="006D6A6D">
      <w:r>
        <w:separator/>
      </w:r>
    </w:p>
  </w:footnote>
  <w:footnote w:type="continuationSeparator" w:id="0">
    <w:p w:rsidR="006D6A6D" w:rsidRDefault="006D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12A9"/>
    <w:multiLevelType w:val="hybridMultilevel"/>
    <w:tmpl w:val="19B0E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828E9"/>
    <w:multiLevelType w:val="hybridMultilevel"/>
    <w:tmpl w:val="9F2CCE36"/>
    <w:lvl w:ilvl="0" w:tplc="94004662">
      <w:start w:val="698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72"/>
    <w:rsid w:val="000E33AC"/>
    <w:rsid w:val="000F57A6"/>
    <w:rsid w:val="001602FB"/>
    <w:rsid w:val="00203ACE"/>
    <w:rsid w:val="0022000D"/>
    <w:rsid w:val="0022701D"/>
    <w:rsid w:val="00233112"/>
    <w:rsid w:val="002377AF"/>
    <w:rsid w:val="002B5288"/>
    <w:rsid w:val="002C19E8"/>
    <w:rsid w:val="002C43AF"/>
    <w:rsid w:val="002E1003"/>
    <w:rsid w:val="00345FAB"/>
    <w:rsid w:val="00354728"/>
    <w:rsid w:val="00387A03"/>
    <w:rsid w:val="003B1D4A"/>
    <w:rsid w:val="003C42DB"/>
    <w:rsid w:val="003D4133"/>
    <w:rsid w:val="00471B5C"/>
    <w:rsid w:val="00482BD5"/>
    <w:rsid w:val="00497F6F"/>
    <w:rsid w:val="004A2FFF"/>
    <w:rsid w:val="004B318F"/>
    <w:rsid w:val="004C1499"/>
    <w:rsid w:val="004C3A18"/>
    <w:rsid w:val="004F5AC3"/>
    <w:rsid w:val="00506356"/>
    <w:rsid w:val="005142AA"/>
    <w:rsid w:val="00571023"/>
    <w:rsid w:val="005C75AB"/>
    <w:rsid w:val="00652B72"/>
    <w:rsid w:val="006B2F6A"/>
    <w:rsid w:val="006D6A6D"/>
    <w:rsid w:val="006E7EA1"/>
    <w:rsid w:val="00707E9E"/>
    <w:rsid w:val="00714927"/>
    <w:rsid w:val="0073578A"/>
    <w:rsid w:val="00737F9D"/>
    <w:rsid w:val="0075289D"/>
    <w:rsid w:val="00804A90"/>
    <w:rsid w:val="00815900"/>
    <w:rsid w:val="008411A6"/>
    <w:rsid w:val="0087737A"/>
    <w:rsid w:val="0088634C"/>
    <w:rsid w:val="008A0AD0"/>
    <w:rsid w:val="008A3B3B"/>
    <w:rsid w:val="008F4461"/>
    <w:rsid w:val="009139EA"/>
    <w:rsid w:val="009856D1"/>
    <w:rsid w:val="00987AF0"/>
    <w:rsid w:val="00987E98"/>
    <w:rsid w:val="009929ED"/>
    <w:rsid w:val="009E0F36"/>
    <w:rsid w:val="009E2E8A"/>
    <w:rsid w:val="00AA125A"/>
    <w:rsid w:val="00AA43CB"/>
    <w:rsid w:val="00AD0869"/>
    <w:rsid w:val="00AD3F2B"/>
    <w:rsid w:val="00AD5EF1"/>
    <w:rsid w:val="00B8779F"/>
    <w:rsid w:val="00BE2B6D"/>
    <w:rsid w:val="00C03DBB"/>
    <w:rsid w:val="00C2369E"/>
    <w:rsid w:val="00C24B09"/>
    <w:rsid w:val="00C27E77"/>
    <w:rsid w:val="00C7752A"/>
    <w:rsid w:val="00C8540F"/>
    <w:rsid w:val="00C90B85"/>
    <w:rsid w:val="00CA2F4B"/>
    <w:rsid w:val="00CD0001"/>
    <w:rsid w:val="00CD0966"/>
    <w:rsid w:val="00CD199E"/>
    <w:rsid w:val="00CD24FD"/>
    <w:rsid w:val="00D417CD"/>
    <w:rsid w:val="00D606A5"/>
    <w:rsid w:val="00D71A14"/>
    <w:rsid w:val="00E61A34"/>
    <w:rsid w:val="00E80FBC"/>
    <w:rsid w:val="00E90683"/>
    <w:rsid w:val="00EC15F5"/>
    <w:rsid w:val="00ED4FCA"/>
    <w:rsid w:val="00EE4803"/>
    <w:rsid w:val="00EF189E"/>
    <w:rsid w:val="00F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8E705B"/>
  <w15:docId w15:val="{5864F670-87B1-421B-8916-643573C5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ED4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D4FC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461"/>
    <w:pPr>
      <w:autoSpaceDE/>
      <w:autoSpaceDN/>
      <w:adjustRightInd/>
      <w:ind w:left="720"/>
      <w:jc w:val="both"/>
    </w:pPr>
    <w:rPr>
      <w:rFonts w:ascii="Garamond" w:eastAsia="Times New Roman" w:hAnsi="Garamond"/>
      <w:bCs/>
      <w:color w:val="auto"/>
      <w:sz w:val="24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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</dc:title>
  <dc:subject></dc:subject>
  <dc:creator></dc:creator>
  <cp:lastModifiedBy>Goran Babovic</cp:lastModifiedBy>
  <cp:revision>6</cp:revision>
  <cp:lastPrinted>2021-03-25T09:31:00Z</cp:lastPrinted>
  <dcterms:created xsi:type="dcterms:W3CDTF">2021-03-25T09:34:00Z</dcterms:created>
  <dcterms:modified xsi:type="dcterms:W3CDTF">2021-04-01T10:18:00Z</dcterms:modified>
</cp:coreProperties>
</file>