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7AB" w:rsidRDefault="008B37AB" w:rsidP="008B37AB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8B37AB" w:rsidRDefault="008B37AB" w:rsidP="008B37AB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>Br. 07-322/20-upI-14</w:t>
      </w:r>
      <w:r w:rsidRPr="00F60591">
        <w:rPr>
          <w:rFonts w:ascii="Arial" w:hAnsi="Arial" w:cs="Arial"/>
          <w:bCs/>
          <w:sz w:val="22"/>
          <w:lang w:val="hr-HR"/>
        </w:rPr>
        <w:t>8/</w:t>
      </w:r>
      <w:r>
        <w:rPr>
          <w:rFonts w:ascii="Arial" w:hAnsi="Arial" w:cs="Arial"/>
          <w:bCs/>
          <w:sz w:val="22"/>
          <w:lang w:val="hr-HR"/>
        </w:rPr>
        <w:t xml:space="preserve">12                                                                             </w:t>
      </w:r>
      <w:r w:rsidR="000E1604" w:rsidRPr="000E1604">
        <w:rPr>
          <w:rFonts w:ascii="Arial" w:hAnsi="Arial" w:cs="Arial"/>
          <w:bCs/>
          <w:sz w:val="22"/>
          <w:lang w:val="hr-HR"/>
        </w:rPr>
        <w:t>19</w:t>
      </w:r>
      <w:r w:rsidRPr="000E1604">
        <w:rPr>
          <w:rFonts w:ascii="Arial" w:hAnsi="Arial" w:cs="Arial"/>
          <w:bCs/>
          <w:sz w:val="22"/>
          <w:lang w:val="hr-HR"/>
        </w:rPr>
        <w:t>.10.2020. godine</w:t>
      </w:r>
    </w:p>
    <w:p w:rsidR="008B37AB" w:rsidRDefault="008B37AB" w:rsidP="008B37AB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A72C8" w:rsidRDefault="00BA72C8" w:rsidP="00BA72C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</w:p>
    <w:p w:rsidR="00AF7A93" w:rsidRDefault="00AF7A93" w:rsidP="00AF7A93">
      <w:pPr>
        <w:tabs>
          <w:tab w:val="left" w:pos="567"/>
        </w:tabs>
        <w:spacing w:before="0" w:after="160" w:line="256" w:lineRule="auto"/>
        <w:ind w:firstLine="567"/>
        <w:rPr>
          <w:rFonts w:ascii="Arial" w:eastAsia="Times New Roman" w:hAnsi="Arial" w:cs="Arial"/>
          <w:sz w:val="22"/>
          <w:lang w:val="sr-Latn-CS" w:eastAsia="sr-Latn-BA"/>
        </w:rPr>
      </w:pPr>
      <w:r>
        <w:rPr>
          <w:rFonts w:ascii="Arial" w:eastAsia="Calibri" w:hAnsi="Arial" w:cs="Arial"/>
          <w:sz w:val="22"/>
          <w:lang w:val="sr-Latn-CS"/>
        </w:rPr>
        <w:t xml:space="preserve">Sekretarijat za investicije, uređenje prostora i održivi razvoj, rješavajući po zahtjevu nosioca projekta </w:t>
      </w:r>
      <w:r w:rsidR="00A736B5">
        <w:rPr>
          <w:rFonts w:ascii="Arial" w:eastAsia="Calibri" w:hAnsi="Arial" w:cs="Arial"/>
          <w:sz w:val="22"/>
          <w:lang w:val="sr-Latn-CS"/>
        </w:rPr>
        <w:t>Centralne banka</w:t>
      </w:r>
      <w:r w:rsidR="00A736B5" w:rsidRPr="007E56A5">
        <w:rPr>
          <w:rFonts w:ascii="Arial" w:eastAsia="Calibri" w:hAnsi="Arial" w:cs="Arial"/>
          <w:sz w:val="22"/>
          <w:lang w:val="sr-Latn-CS"/>
        </w:rPr>
        <w:t xml:space="preserve"> Crne Gore iz Podgorice, Bulevar Sv.Petra Cetinjskog br.6</w:t>
      </w:r>
      <w:r>
        <w:rPr>
          <w:rFonts w:ascii="Arial" w:eastAsia="Calibri" w:hAnsi="Arial" w:cs="Arial"/>
          <w:sz w:val="22"/>
          <w:lang w:val="hr-HR"/>
        </w:rPr>
        <w:t xml:space="preserve">, </w:t>
      </w:r>
      <w:r>
        <w:rPr>
          <w:rFonts w:ascii="Arial" w:eastAsia="Calibri" w:hAnsi="Arial" w:cs="Arial"/>
          <w:sz w:val="22"/>
          <w:lang w:val="sr-Latn-CS"/>
        </w:rPr>
        <w:t>u postupku davanja saglasnosti na Elaborat o procjeni uticaja na životnu sredinu</w:t>
      </w:r>
      <w:r>
        <w:rPr>
          <w:rFonts w:ascii="Arial" w:hAnsi="Arial" w:cs="Arial"/>
          <w:sz w:val="22"/>
          <w:lang w:val="hr-HR"/>
        </w:rPr>
        <w:t xml:space="preserve"> </w:t>
      </w:r>
      <w:r w:rsidR="00A736B5" w:rsidRPr="007E56A5">
        <w:rPr>
          <w:rFonts w:ascii="Arial" w:hAnsi="Arial" w:cs="Arial"/>
          <w:sz w:val="22"/>
          <w:lang w:val="sr-Latn-CS" w:eastAsia="sr-Latn-BA"/>
        </w:rPr>
        <w:t xml:space="preserve">za </w:t>
      </w:r>
      <w:r w:rsidR="00A736B5" w:rsidRPr="007E56A5">
        <w:rPr>
          <w:rFonts w:ascii="Arial" w:eastAsia="Calibri" w:hAnsi="Arial" w:cs="Arial"/>
          <w:sz w:val="22"/>
          <w:lang w:val="hr-HR"/>
        </w:rPr>
        <w:t xml:space="preserve">Edukativno-konferencijski centar </w:t>
      </w:r>
      <w:r w:rsidR="00A736B5">
        <w:rPr>
          <w:rFonts w:ascii="Arial" w:eastAsia="Calibri" w:hAnsi="Arial" w:cs="Arial"/>
          <w:sz w:val="22"/>
          <w:lang w:val="hr-HR"/>
        </w:rPr>
        <w:t xml:space="preserve">CBCG, </w:t>
      </w:r>
      <w:r w:rsidR="00A736B5" w:rsidRPr="007E56A5">
        <w:rPr>
          <w:rFonts w:ascii="Arial" w:eastAsia="Calibri" w:hAnsi="Arial" w:cs="Arial"/>
          <w:sz w:val="22"/>
          <w:lang w:val="hr-HR"/>
        </w:rPr>
        <w:t>na UP 10, Zona A, kat.parc.br.972/2</w:t>
      </w:r>
      <w:r w:rsidR="00A736B5">
        <w:rPr>
          <w:rFonts w:ascii="Arial" w:eastAsia="Calibri" w:hAnsi="Arial" w:cs="Arial"/>
          <w:sz w:val="22"/>
          <w:lang w:val="hr-HR"/>
        </w:rPr>
        <w:t xml:space="preserve"> KO Tivat</w:t>
      </w:r>
      <w:r w:rsidR="00A736B5" w:rsidRPr="007E56A5">
        <w:rPr>
          <w:rFonts w:ascii="Arial" w:eastAsia="Calibri" w:hAnsi="Arial" w:cs="Arial"/>
          <w:sz w:val="22"/>
          <w:lang w:val="hr-HR"/>
        </w:rPr>
        <w:t>, u obuhvatu Detaljnog urbanističkog plana „Tivat-Centar“, opština Tivat</w:t>
      </w:r>
      <w:r>
        <w:rPr>
          <w:rFonts w:ascii="Arial" w:eastAsia="Times New Roman" w:hAnsi="Arial" w:cs="Arial"/>
          <w:sz w:val="22"/>
          <w:lang w:val="sr-Latn-CS" w:eastAsia="sr-Latn-BA"/>
        </w:rPr>
        <w:t xml:space="preserve">, a na </w:t>
      </w:r>
      <w:r>
        <w:rPr>
          <w:rFonts w:ascii="Arial" w:eastAsia="Calibri" w:hAnsi="Arial" w:cs="Arial"/>
          <w:sz w:val="22"/>
          <w:lang w:val="sr-Latn-CS"/>
        </w:rPr>
        <w:t xml:space="preserve">osnovu člana 24 Zakona o procjeni uticaja na životnu sredinu („Službeni list CG“, br. 75/18), </w:t>
      </w:r>
      <w:r>
        <w:rPr>
          <w:rFonts w:ascii="Arial" w:eastAsia="Times New Roman" w:hAnsi="Arial" w:cs="Arial"/>
          <w:sz w:val="22"/>
          <w:lang w:val="sr-Latn-CS" w:eastAsia="sr-Latn-BA"/>
        </w:rPr>
        <w:t xml:space="preserve">članova 18 i 46 stav 1 Zakona o upravnom postupku („Službeni List CG“, br. 56/14, 20/15, 40/16 i 37/17), te člana 7 stav 1 tačka 1 </w:t>
      </w:r>
      <w:r>
        <w:rPr>
          <w:rFonts w:ascii="Arial" w:eastAsia="Calibri" w:hAnsi="Arial" w:cs="Arial"/>
          <w:sz w:val="22"/>
          <w:lang w:val="sr-Latn-CS"/>
        </w:rPr>
        <w:t xml:space="preserve">Odluke o organizaciji i načinu rada lokalne uprave Opštine Tivat („Sl.list CG-opštinski propisi“, br. 43/18, 15/19, 08/20) </w:t>
      </w:r>
      <w:r>
        <w:rPr>
          <w:rFonts w:ascii="Arial" w:eastAsia="Times New Roman" w:hAnsi="Arial" w:cs="Arial"/>
          <w:sz w:val="22"/>
          <w:lang w:val="sr-Latn-CS" w:eastAsia="sr-Latn-BA"/>
        </w:rPr>
        <w:t>donosi:</w:t>
      </w:r>
    </w:p>
    <w:p w:rsidR="00AF7A93" w:rsidRDefault="00AF7A93" w:rsidP="00AF7A93">
      <w:pPr>
        <w:spacing w:before="0" w:after="0" w:line="240" w:lineRule="auto"/>
        <w:rPr>
          <w:rFonts w:ascii="Arial" w:eastAsia="Times New Roman" w:hAnsi="Arial" w:cs="Arial"/>
          <w:sz w:val="22"/>
          <w:lang w:val="sr-Latn-CS"/>
        </w:rPr>
      </w:pPr>
    </w:p>
    <w:p w:rsidR="00AF7A93" w:rsidRDefault="00AF7A93" w:rsidP="00AF7A93">
      <w:pPr>
        <w:autoSpaceDE w:val="0"/>
        <w:autoSpaceDN w:val="0"/>
        <w:adjustRightInd w:val="0"/>
        <w:spacing w:before="0" w:after="0" w:line="240" w:lineRule="auto"/>
        <w:jc w:val="center"/>
        <w:outlineLvl w:val="0"/>
        <w:rPr>
          <w:rFonts w:ascii="Arial" w:eastAsia="Times New Roman" w:hAnsi="Arial" w:cs="Arial"/>
          <w:b/>
          <w:sz w:val="22"/>
          <w:lang w:val="sr-Latn-CS"/>
        </w:rPr>
      </w:pPr>
      <w:r>
        <w:rPr>
          <w:rFonts w:ascii="Arial" w:eastAsia="Times New Roman" w:hAnsi="Arial" w:cs="Arial"/>
          <w:b/>
          <w:sz w:val="22"/>
          <w:lang w:val="sr-Latn-CS"/>
        </w:rPr>
        <w:t>R J E Š E NJ E</w:t>
      </w:r>
    </w:p>
    <w:p w:rsidR="00AF7A93" w:rsidRDefault="00AF7A93" w:rsidP="00AF7A93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eastAsia="Times New Roman" w:hAnsi="Arial" w:cs="Arial"/>
          <w:b/>
          <w:sz w:val="22"/>
          <w:lang w:val="sr-Latn-CS"/>
        </w:rPr>
      </w:pPr>
    </w:p>
    <w:p w:rsidR="00AF7A93" w:rsidRDefault="00AF7A93" w:rsidP="00AF7A93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eastAsia="Times New Roman" w:hAnsi="Arial" w:cs="Arial"/>
          <w:b/>
          <w:sz w:val="22"/>
          <w:lang w:val="sr-Latn-CS"/>
        </w:rPr>
      </w:pPr>
    </w:p>
    <w:p w:rsidR="00AF7A93" w:rsidRDefault="00AF7A93" w:rsidP="00AF7A93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Arial" w:eastAsia="Times New Roman" w:hAnsi="Arial" w:cs="Arial"/>
          <w:sz w:val="22"/>
          <w:lang w:val="en-GB" w:eastAsia="en-GB"/>
        </w:rPr>
      </w:pPr>
      <w:r>
        <w:rPr>
          <w:rFonts w:ascii="Arial" w:eastAsia="Times New Roman" w:hAnsi="Arial" w:cs="Arial"/>
          <w:sz w:val="22"/>
          <w:lang w:val="sr-Latn-CS"/>
        </w:rPr>
        <w:t xml:space="preserve">1 – Daje se saglasnost na Elaborat o procjeni uticaja na životnu sredinu </w:t>
      </w:r>
      <w:r w:rsidR="00A736B5" w:rsidRPr="007E56A5">
        <w:rPr>
          <w:rFonts w:ascii="Arial" w:hAnsi="Arial" w:cs="Arial"/>
          <w:sz w:val="22"/>
          <w:lang w:val="sr-Latn-CS" w:eastAsia="sr-Latn-BA"/>
        </w:rPr>
        <w:t xml:space="preserve">za </w:t>
      </w:r>
      <w:r w:rsidR="00A736B5" w:rsidRPr="007E56A5">
        <w:rPr>
          <w:rFonts w:ascii="Arial" w:eastAsia="Calibri" w:hAnsi="Arial" w:cs="Arial"/>
          <w:sz w:val="22"/>
          <w:lang w:val="hr-HR"/>
        </w:rPr>
        <w:t xml:space="preserve">Edukativno-konferencijski centar </w:t>
      </w:r>
      <w:r w:rsidR="00A736B5">
        <w:rPr>
          <w:rFonts w:ascii="Arial" w:eastAsia="Calibri" w:hAnsi="Arial" w:cs="Arial"/>
          <w:sz w:val="22"/>
          <w:lang w:val="hr-HR"/>
        </w:rPr>
        <w:t xml:space="preserve">CBCG, </w:t>
      </w:r>
      <w:r w:rsidR="00A736B5" w:rsidRPr="007E56A5">
        <w:rPr>
          <w:rFonts w:ascii="Arial" w:eastAsia="Calibri" w:hAnsi="Arial" w:cs="Arial"/>
          <w:sz w:val="22"/>
          <w:lang w:val="hr-HR"/>
        </w:rPr>
        <w:t>na UP 10, Zona A, kat.parc.br.972/2</w:t>
      </w:r>
      <w:r w:rsidR="00A736B5">
        <w:rPr>
          <w:rFonts w:ascii="Arial" w:eastAsia="Calibri" w:hAnsi="Arial" w:cs="Arial"/>
          <w:sz w:val="22"/>
          <w:lang w:val="hr-HR"/>
        </w:rPr>
        <w:t xml:space="preserve"> KO Tivat</w:t>
      </w:r>
      <w:r w:rsidR="00A736B5" w:rsidRPr="007E56A5">
        <w:rPr>
          <w:rFonts w:ascii="Arial" w:eastAsia="Calibri" w:hAnsi="Arial" w:cs="Arial"/>
          <w:sz w:val="22"/>
          <w:lang w:val="hr-HR"/>
        </w:rPr>
        <w:t>, u obuhvatu Detaljnog urbanističkog plana „Tivat-Centar“, opština Tivat</w:t>
      </w:r>
      <w:r w:rsidR="00A736B5">
        <w:rPr>
          <w:rFonts w:ascii="Arial" w:eastAsia="Calibri" w:hAnsi="Arial" w:cs="Arial"/>
          <w:sz w:val="22"/>
          <w:lang w:val="hr-HR"/>
        </w:rPr>
        <w:t>,</w:t>
      </w:r>
      <w:r w:rsidR="00A736B5">
        <w:rPr>
          <w:rFonts w:ascii="Arial" w:eastAsia="Times New Roman" w:hAnsi="Arial" w:cs="Arial"/>
          <w:sz w:val="22"/>
          <w:lang w:val="sr-Latn-CS"/>
        </w:rPr>
        <w:t xml:space="preserve"> broj 07-322/20-upI-148/10 od 08.10</w:t>
      </w:r>
      <w:r>
        <w:rPr>
          <w:rFonts w:ascii="Arial" w:eastAsia="Times New Roman" w:hAnsi="Arial" w:cs="Arial"/>
          <w:sz w:val="22"/>
          <w:lang w:val="sr-Latn-CS"/>
        </w:rPr>
        <w:t>.2020. g</w:t>
      </w:r>
      <w:r w:rsidR="00A736B5">
        <w:rPr>
          <w:rFonts w:ascii="Arial" w:eastAsia="Times New Roman" w:hAnsi="Arial" w:cs="Arial"/>
          <w:sz w:val="22"/>
          <w:lang w:val="sr-Latn-CS"/>
        </w:rPr>
        <w:t>odine, izrađen od strane „Liming</w:t>
      </w:r>
      <w:r>
        <w:rPr>
          <w:rFonts w:ascii="Arial" w:eastAsia="Times New Roman" w:hAnsi="Arial" w:cs="Arial"/>
          <w:sz w:val="22"/>
          <w:lang w:val="sr-Latn-CS"/>
        </w:rPr>
        <w:t xml:space="preserve">“ doo iz Podgorice, </w:t>
      </w:r>
      <w:r w:rsidRPr="0010591B">
        <w:rPr>
          <w:rFonts w:ascii="Arial" w:eastAsia="Times New Roman" w:hAnsi="Arial" w:cs="Arial"/>
          <w:sz w:val="22"/>
          <w:lang w:val="sr-Latn-CS"/>
        </w:rPr>
        <w:t xml:space="preserve">iz </w:t>
      </w:r>
      <w:r w:rsidR="0010591B">
        <w:rPr>
          <w:rFonts w:ascii="Arial" w:eastAsia="Times New Roman" w:hAnsi="Arial" w:cs="Arial"/>
          <w:sz w:val="22"/>
          <w:lang w:val="sr-Latn-CS"/>
        </w:rPr>
        <w:t>oktobra mjeseca</w:t>
      </w:r>
      <w:r>
        <w:rPr>
          <w:rFonts w:ascii="Arial" w:eastAsia="Times New Roman" w:hAnsi="Arial" w:cs="Arial"/>
          <w:sz w:val="22"/>
          <w:lang w:val="sr-Latn-CS"/>
        </w:rPr>
        <w:t xml:space="preserve"> 2020. godine, u postupku sprovedenom po zahtjevu nosioca projekta </w:t>
      </w:r>
      <w:r w:rsidR="00A736B5">
        <w:rPr>
          <w:rFonts w:ascii="Arial" w:eastAsia="Calibri" w:hAnsi="Arial" w:cs="Arial"/>
          <w:sz w:val="22"/>
          <w:lang w:val="sr-Latn-CS"/>
        </w:rPr>
        <w:t>Centralne banke</w:t>
      </w:r>
      <w:r w:rsidR="00A736B5" w:rsidRPr="007E56A5">
        <w:rPr>
          <w:rFonts w:ascii="Arial" w:eastAsia="Calibri" w:hAnsi="Arial" w:cs="Arial"/>
          <w:sz w:val="22"/>
          <w:lang w:val="sr-Latn-CS"/>
        </w:rPr>
        <w:t xml:space="preserve"> Crne Gore iz Podgorice, Bulevar Sv.Petra Cetinjskog br.6</w:t>
      </w:r>
      <w:r>
        <w:rPr>
          <w:rFonts w:ascii="Arial" w:eastAsia="Times New Roman" w:hAnsi="Arial" w:cs="Arial"/>
          <w:sz w:val="22"/>
          <w:lang w:val="hr-HR"/>
        </w:rPr>
        <w:t xml:space="preserve">, </w:t>
      </w:r>
      <w:r>
        <w:rPr>
          <w:rFonts w:ascii="Arial" w:eastAsia="Times New Roman" w:hAnsi="Arial" w:cs="Arial"/>
          <w:sz w:val="22"/>
          <w:lang w:val="sr-Latn-CS"/>
        </w:rPr>
        <w:t>koji je urađen u skladu sa odredbama Zakona o procjeni uticaja na životnu sredinu.</w:t>
      </w:r>
    </w:p>
    <w:p w:rsidR="00AF7A93" w:rsidRDefault="00AF7A93" w:rsidP="00AF7A93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Arial" w:eastAsia="Times New Roman" w:hAnsi="Arial" w:cs="Arial"/>
          <w:sz w:val="22"/>
          <w:lang w:val="sr-Latn-CS"/>
        </w:rPr>
      </w:pPr>
    </w:p>
    <w:p w:rsidR="00AF7A93" w:rsidRDefault="00AF7A93" w:rsidP="00AF7A93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Arial" w:eastAsia="Times New Roman" w:hAnsi="Arial" w:cs="Arial"/>
          <w:sz w:val="22"/>
          <w:lang w:val="hr-HR"/>
        </w:rPr>
      </w:pPr>
      <w:r>
        <w:rPr>
          <w:rFonts w:ascii="Arial" w:eastAsia="Times New Roman" w:hAnsi="Arial" w:cs="Arial"/>
          <w:sz w:val="22"/>
          <w:lang w:val="sr-Latn-CS"/>
        </w:rPr>
        <w:t>2 – Nalaže se nosiocu</w:t>
      </w:r>
      <w:r w:rsidR="00A736B5">
        <w:rPr>
          <w:rFonts w:ascii="Arial" w:eastAsia="Times New Roman" w:hAnsi="Arial" w:cs="Arial"/>
          <w:sz w:val="22"/>
          <w:lang w:val="sr-Latn-CS"/>
        </w:rPr>
        <w:t xml:space="preserve"> projekta da planirani projekat</w:t>
      </w:r>
      <w:r w:rsidR="00A736B5" w:rsidRPr="007E56A5">
        <w:rPr>
          <w:rFonts w:ascii="Arial" w:hAnsi="Arial" w:cs="Arial"/>
          <w:sz w:val="22"/>
          <w:lang w:val="sr-Latn-CS" w:eastAsia="sr-Latn-BA"/>
        </w:rPr>
        <w:t xml:space="preserve"> </w:t>
      </w:r>
      <w:r w:rsidR="00A736B5">
        <w:rPr>
          <w:rFonts w:ascii="Arial" w:eastAsia="Calibri" w:hAnsi="Arial" w:cs="Arial"/>
          <w:sz w:val="22"/>
          <w:lang w:val="hr-HR"/>
        </w:rPr>
        <w:t>Edukativno-konferencijskog centra</w:t>
      </w:r>
      <w:r w:rsidR="00A736B5" w:rsidRPr="007E56A5">
        <w:rPr>
          <w:rFonts w:ascii="Arial" w:eastAsia="Calibri" w:hAnsi="Arial" w:cs="Arial"/>
          <w:sz w:val="22"/>
          <w:lang w:val="hr-HR"/>
        </w:rPr>
        <w:t xml:space="preserve"> </w:t>
      </w:r>
      <w:r w:rsidR="00A736B5">
        <w:rPr>
          <w:rFonts w:ascii="Arial" w:eastAsia="Calibri" w:hAnsi="Arial" w:cs="Arial"/>
          <w:sz w:val="22"/>
          <w:lang w:val="hr-HR"/>
        </w:rPr>
        <w:t xml:space="preserve">CBCG, </w:t>
      </w:r>
      <w:r w:rsidR="00A736B5" w:rsidRPr="007E56A5">
        <w:rPr>
          <w:rFonts w:ascii="Arial" w:eastAsia="Calibri" w:hAnsi="Arial" w:cs="Arial"/>
          <w:sz w:val="22"/>
          <w:lang w:val="hr-HR"/>
        </w:rPr>
        <w:t>na UP 10, Zona A, kat.parc.br.972/2</w:t>
      </w:r>
      <w:r w:rsidR="00A736B5">
        <w:rPr>
          <w:rFonts w:ascii="Arial" w:eastAsia="Calibri" w:hAnsi="Arial" w:cs="Arial"/>
          <w:sz w:val="22"/>
          <w:lang w:val="hr-HR"/>
        </w:rPr>
        <w:t xml:space="preserve"> KO Tivat</w:t>
      </w:r>
      <w:r w:rsidR="00A736B5" w:rsidRPr="007E56A5">
        <w:rPr>
          <w:rFonts w:ascii="Arial" w:eastAsia="Calibri" w:hAnsi="Arial" w:cs="Arial"/>
          <w:sz w:val="22"/>
          <w:lang w:val="hr-HR"/>
        </w:rPr>
        <w:t>, u obuhvatu Detaljnog urbanističkog plana „Tivat-Centar“, opština Tivat</w:t>
      </w:r>
      <w:r>
        <w:rPr>
          <w:rFonts w:ascii="Arial" w:eastAsia="Times New Roman" w:hAnsi="Arial" w:cs="Arial"/>
          <w:sz w:val="22"/>
          <w:lang w:val="hr-HR"/>
        </w:rPr>
        <w:t>,</w:t>
      </w:r>
      <w:r>
        <w:rPr>
          <w:rFonts w:ascii="Arial" w:eastAsia="Times New Roman" w:hAnsi="Arial" w:cs="Arial"/>
          <w:sz w:val="22"/>
          <w:lang w:val="en-US"/>
        </w:rPr>
        <w:t xml:space="preserve"> </w:t>
      </w:r>
      <w:r>
        <w:rPr>
          <w:rFonts w:ascii="Arial" w:eastAsia="Times New Roman" w:hAnsi="Arial" w:cs="Arial"/>
          <w:sz w:val="22"/>
          <w:lang w:val="sr-Latn-CS"/>
        </w:rPr>
        <w:t xml:space="preserve">realizuje u svemu prema mjerama zaštite životne sredine utvrđenim u Elaboratu o procjeni uticaja na životnu sredinu iz tačke 1 ovog Rješenja, a koje se odnose na: </w:t>
      </w:r>
    </w:p>
    <w:p w:rsidR="00AF7A93" w:rsidRDefault="00AF7A93" w:rsidP="00AF7A93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Arial" w:eastAsia="Times New Roman" w:hAnsi="Arial" w:cs="Arial"/>
          <w:sz w:val="22"/>
          <w:lang w:val="sr-Latn-CS"/>
        </w:rPr>
      </w:pPr>
    </w:p>
    <w:p w:rsidR="00AF7A93" w:rsidRDefault="00AF7A93" w:rsidP="00AF7A93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Arial" w:eastAsia="Times New Roman" w:hAnsi="Arial" w:cs="Arial"/>
          <w:sz w:val="22"/>
          <w:lang w:val="sr-Latn-CS"/>
        </w:rPr>
      </w:pPr>
      <w:r>
        <w:rPr>
          <w:rFonts w:ascii="Arial" w:eastAsia="Times New Roman" w:hAnsi="Arial" w:cs="Arial"/>
          <w:sz w:val="22"/>
          <w:lang w:val="sr-Latn-CS"/>
        </w:rPr>
        <w:t xml:space="preserve">- Mjere za sprečavanje, smanjenje ili otklanjanje štetnih uticaja u toku izgradnje, funkcionisanja i u slučaju akcidenta koje su definisane u Poglavlju 8 Elaborata o procjeni uticaja na životnu sredinu iz tačke 1 ovog Rješenja i </w:t>
      </w:r>
    </w:p>
    <w:p w:rsidR="00AF7A93" w:rsidRDefault="00AF7A93" w:rsidP="00AF7A93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Arial" w:eastAsia="Times New Roman" w:hAnsi="Arial" w:cs="Arial"/>
          <w:sz w:val="22"/>
          <w:lang w:val="sr-Latn-CS"/>
        </w:rPr>
      </w:pPr>
      <w:r>
        <w:rPr>
          <w:rFonts w:ascii="Arial" w:eastAsia="Times New Roman" w:hAnsi="Arial" w:cs="Arial"/>
          <w:sz w:val="22"/>
          <w:lang w:val="sr-Latn-CS"/>
        </w:rPr>
        <w:t>- Program praćenja uticaja na životnu sredinu. koji je definisan u Poglavlju 9 Elaborata o procjeni uticaja na životnu sredinu iz tačke 1 ovog Rješenja.</w:t>
      </w:r>
    </w:p>
    <w:p w:rsidR="00AF7A93" w:rsidRDefault="00AF7A93" w:rsidP="00AF7A93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Arial" w:eastAsia="Times New Roman" w:hAnsi="Arial" w:cs="Arial"/>
          <w:sz w:val="22"/>
          <w:lang w:val="sr-Latn-CS"/>
        </w:rPr>
      </w:pPr>
    </w:p>
    <w:p w:rsidR="00AF7A93" w:rsidRDefault="00AF7A93" w:rsidP="00AF7A93">
      <w:pPr>
        <w:spacing w:before="0" w:after="0" w:line="240" w:lineRule="auto"/>
        <w:ind w:firstLine="720"/>
        <w:rPr>
          <w:rFonts w:ascii="Arial" w:eastAsia="Times New Roman" w:hAnsi="Arial" w:cs="Arial"/>
          <w:sz w:val="22"/>
          <w:lang w:val="sr-Latn-CS"/>
        </w:rPr>
      </w:pPr>
      <w:r>
        <w:rPr>
          <w:rFonts w:ascii="Arial" w:eastAsia="Times New Roman" w:hAnsi="Arial" w:cs="Arial"/>
          <w:sz w:val="22"/>
          <w:lang w:val="sr-Latn-CS"/>
        </w:rPr>
        <w:t xml:space="preserve">Realizovanost mjera zaštite životne sredine definisanih u Elaboratu o procjeni uticaja  na životnu sredinu na koji je data saglasnost utvrđuje nadležni organ - Ekološka inspekcija, tokom izgradnje, funkcionisanja projekta i u slučaju akcidenta. </w:t>
      </w:r>
    </w:p>
    <w:p w:rsidR="00AF7A93" w:rsidRDefault="00AF7A93" w:rsidP="00AF7A93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Arial" w:eastAsia="Times New Roman" w:hAnsi="Arial" w:cs="Arial"/>
          <w:sz w:val="22"/>
          <w:lang w:val="sr-Latn-CS"/>
        </w:rPr>
      </w:pPr>
    </w:p>
    <w:p w:rsidR="00AF7A93" w:rsidRDefault="00AF7A93" w:rsidP="00AF7A93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Arial" w:eastAsia="Times New Roman" w:hAnsi="Arial" w:cs="Arial"/>
          <w:sz w:val="22"/>
          <w:lang w:val="sr-Latn-RS"/>
        </w:rPr>
      </w:pPr>
      <w:r>
        <w:rPr>
          <w:rFonts w:ascii="Arial" w:eastAsia="Times New Roman" w:hAnsi="Arial" w:cs="Arial"/>
          <w:sz w:val="22"/>
          <w:lang w:val="sr-Latn-CS"/>
        </w:rPr>
        <w:t xml:space="preserve">3 – Ovo </w:t>
      </w:r>
      <w:proofErr w:type="spellStart"/>
      <w:r>
        <w:rPr>
          <w:rFonts w:ascii="Arial" w:eastAsia="Times New Roman" w:hAnsi="Arial" w:cs="Arial"/>
          <w:sz w:val="22"/>
          <w:lang w:val="en-US"/>
        </w:rPr>
        <w:t>Rješenje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US"/>
        </w:rPr>
        <w:t>prestaje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da </w:t>
      </w:r>
      <w:proofErr w:type="spellStart"/>
      <w:r>
        <w:rPr>
          <w:rFonts w:ascii="Arial" w:eastAsia="Times New Roman" w:hAnsi="Arial" w:cs="Arial"/>
          <w:sz w:val="22"/>
          <w:lang w:val="en-US"/>
        </w:rPr>
        <w:t>važi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US"/>
        </w:rPr>
        <w:t>ukoliko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US"/>
        </w:rPr>
        <w:t>nosilac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US"/>
        </w:rPr>
        <w:t>projekta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ne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pribavi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građevinsku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dozvolu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ili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podnese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prijavu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početka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građenja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ili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odobrenje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ili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saglasnost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za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izvođenje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projekta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u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roku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od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dvije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godine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od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dana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prijema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ovog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rješenja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>.</w:t>
      </w:r>
      <w:r>
        <w:rPr>
          <w:rFonts w:ascii="Arial" w:eastAsia="Times New Roman" w:hAnsi="Arial" w:cs="Arial"/>
          <w:sz w:val="22"/>
          <w:lang w:val="sr-Latn-CS"/>
        </w:rPr>
        <w:t xml:space="preserve"> </w:t>
      </w:r>
    </w:p>
    <w:p w:rsidR="00AF7A93" w:rsidRDefault="00AF7A93" w:rsidP="00AF7A93">
      <w:pPr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 w:val="22"/>
          <w:lang w:val="sr-Latn-CS"/>
        </w:rPr>
      </w:pPr>
    </w:p>
    <w:p w:rsidR="00AF7A93" w:rsidRDefault="00AF7A93" w:rsidP="00AF7A93">
      <w:pPr>
        <w:spacing w:before="0" w:after="0" w:line="240" w:lineRule="auto"/>
        <w:jc w:val="left"/>
        <w:outlineLvl w:val="0"/>
        <w:rPr>
          <w:rFonts w:ascii="Arial" w:eastAsia="Times New Roman" w:hAnsi="Arial" w:cs="Arial"/>
          <w:sz w:val="22"/>
          <w:lang w:val="sr-Latn-CS"/>
        </w:rPr>
      </w:pPr>
    </w:p>
    <w:p w:rsidR="00AF7A93" w:rsidRDefault="00AF7A93" w:rsidP="00AF7A93">
      <w:pPr>
        <w:spacing w:before="0" w:after="0" w:line="240" w:lineRule="auto"/>
        <w:jc w:val="left"/>
        <w:outlineLvl w:val="0"/>
        <w:rPr>
          <w:rFonts w:ascii="Arial" w:eastAsia="Times New Roman" w:hAnsi="Arial" w:cs="Arial"/>
          <w:sz w:val="22"/>
          <w:lang w:val="sr-Latn-CS"/>
        </w:rPr>
      </w:pPr>
    </w:p>
    <w:p w:rsidR="00AF7A93" w:rsidRDefault="00AF7A93" w:rsidP="00AF7A93">
      <w:pPr>
        <w:spacing w:before="0" w:after="0" w:line="240" w:lineRule="auto"/>
        <w:jc w:val="center"/>
        <w:outlineLvl w:val="0"/>
        <w:rPr>
          <w:rFonts w:ascii="Arial" w:eastAsia="Times New Roman" w:hAnsi="Arial" w:cs="Arial"/>
          <w:sz w:val="22"/>
          <w:lang w:val="sr-Latn-CS"/>
        </w:rPr>
      </w:pPr>
      <w:r>
        <w:rPr>
          <w:rFonts w:ascii="Arial" w:eastAsia="Times New Roman" w:hAnsi="Arial" w:cs="Arial"/>
          <w:sz w:val="22"/>
          <w:lang w:val="sr-Latn-CS"/>
        </w:rPr>
        <w:t>O b r a z l o ž e nj e</w:t>
      </w:r>
    </w:p>
    <w:p w:rsidR="00AF7A93" w:rsidRDefault="00AF7A93" w:rsidP="00AF7A93">
      <w:pPr>
        <w:spacing w:before="0" w:after="0" w:line="240" w:lineRule="auto"/>
        <w:rPr>
          <w:rFonts w:ascii="Arial" w:eastAsia="Times New Roman" w:hAnsi="Arial" w:cs="Arial"/>
          <w:b/>
          <w:sz w:val="22"/>
          <w:lang w:val="sr-Latn-CS"/>
        </w:rPr>
      </w:pPr>
    </w:p>
    <w:p w:rsidR="00AF7A93" w:rsidRDefault="00AF7A93" w:rsidP="00AF7A93">
      <w:pPr>
        <w:spacing w:before="0" w:after="0" w:line="240" w:lineRule="auto"/>
        <w:rPr>
          <w:rFonts w:ascii="Arial" w:eastAsia="Times New Roman" w:hAnsi="Arial" w:cs="Arial"/>
          <w:b/>
          <w:sz w:val="22"/>
          <w:lang w:val="sr-Latn-CS"/>
        </w:rPr>
      </w:pPr>
    </w:p>
    <w:p w:rsidR="00AF7A93" w:rsidRDefault="00A736B5" w:rsidP="00AF7A93">
      <w:pPr>
        <w:spacing w:before="0" w:after="0" w:line="240" w:lineRule="auto"/>
        <w:ind w:firstLine="720"/>
        <w:rPr>
          <w:rFonts w:ascii="Arial" w:eastAsia="Times New Roman" w:hAnsi="Arial" w:cs="Arial"/>
          <w:sz w:val="22"/>
          <w:lang w:val="hr-HR"/>
        </w:rPr>
      </w:pPr>
      <w:r>
        <w:rPr>
          <w:rFonts w:ascii="Arial" w:eastAsia="Calibri" w:hAnsi="Arial" w:cs="Arial"/>
          <w:sz w:val="22"/>
          <w:lang w:val="sr-Latn-CS"/>
        </w:rPr>
        <w:t>Centralna banka</w:t>
      </w:r>
      <w:r w:rsidRPr="007E56A5">
        <w:rPr>
          <w:rFonts w:ascii="Arial" w:eastAsia="Calibri" w:hAnsi="Arial" w:cs="Arial"/>
          <w:sz w:val="22"/>
          <w:lang w:val="sr-Latn-CS"/>
        </w:rPr>
        <w:t xml:space="preserve"> Crne Gore iz Podgorice, Bulevar Sv.Petra Cetinjskog br.6</w:t>
      </w:r>
      <w:r w:rsidR="00AF7A93">
        <w:rPr>
          <w:rFonts w:ascii="Arial" w:eastAsia="Times New Roman" w:hAnsi="Arial" w:cs="Arial"/>
          <w:sz w:val="22"/>
          <w:lang w:val="sr-Latn-CS"/>
        </w:rPr>
        <w:t xml:space="preserve">, obratio se ovom Sekretarijatu  </w:t>
      </w:r>
      <w:r w:rsidR="00B82559">
        <w:rPr>
          <w:rFonts w:ascii="Arial" w:eastAsia="Times New Roman" w:hAnsi="Arial" w:cs="Arial"/>
          <w:sz w:val="22"/>
          <w:lang w:val="sr-Latn-CS"/>
        </w:rPr>
        <w:t>zahtjevom, broj 07-322/20-upI-148 od 20.07</w:t>
      </w:r>
      <w:r w:rsidR="00AF7A93">
        <w:rPr>
          <w:rFonts w:ascii="Arial" w:eastAsia="Times New Roman" w:hAnsi="Arial" w:cs="Arial"/>
          <w:sz w:val="22"/>
          <w:lang w:val="sr-Latn-CS"/>
        </w:rPr>
        <w:t xml:space="preserve">.2020.godine, za davanje saglasnosti na Elaborat o procjeni uticaja na životnu sredinu </w:t>
      </w:r>
      <w:r w:rsidR="00B82559" w:rsidRPr="007E56A5">
        <w:rPr>
          <w:rFonts w:ascii="Arial" w:hAnsi="Arial" w:cs="Arial"/>
          <w:sz w:val="22"/>
          <w:lang w:val="sr-Latn-CS" w:eastAsia="sr-Latn-BA"/>
        </w:rPr>
        <w:t xml:space="preserve">za </w:t>
      </w:r>
      <w:r w:rsidR="00B82559" w:rsidRPr="007E56A5">
        <w:rPr>
          <w:rFonts w:ascii="Arial" w:eastAsia="Calibri" w:hAnsi="Arial" w:cs="Arial"/>
          <w:sz w:val="22"/>
          <w:lang w:val="hr-HR"/>
        </w:rPr>
        <w:t xml:space="preserve">Edukativno-konferencijski centar </w:t>
      </w:r>
      <w:r w:rsidR="00B82559">
        <w:rPr>
          <w:rFonts w:ascii="Arial" w:eastAsia="Calibri" w:hAnsi="Arial" w:cs="Arial"/>
          <w:sz w:val="22"/>
          <w:lang w:val="hr-HR"/>
        </w:rPr>
        <w:t xml:space="preserve">CBCG, </w:t>
      </w:r>
      <w:r w:rsidR="00B82559" w:rsidRPr="007E56A5">
        <w:rPr>
          <w:rFonts w:ascii="Arial" w:eastAsia="Calibri" w:hAnsi="Arial" w:cs="Arial"/>
          <w:sz w:val="22"/>
          <w:lang w:val="hr-HR"/>
        </w:rPr>
        <w:t>na UP 10, Zona A, kat.parc.br.972/2</w:t>
      </w:r>
      <w:r w:rsidR="00B82559">
        <w:rPr>
          <w:rFonts w:ascii="Arial" w:eastAsia="Calibri" w:hAnsi="Arial" w:cs="Arial"/>
          <w:sz w:val="22"/>
          <w:lang w:val="hr-HR"/>
        </w:rPr>
        <w:t xml:space="preserve"> KO Tivat</w:t>
      </w:r>
      <w:r w:rsidR="00B82559" w:rsidRPr="007E56A5">
        <w:rPr>
          <w:rFonts w:ascii="Arial" w:eastAsia="Calibri" w:hAnsi="Arial" w:cs="Arial"/>
          <w:sz w:val="22"/>
          <w:lang w:val="hr-HR"/>
        </w:rPr>
        <w:t xml:space="preserve">, u obuhvatu Detaljnog </w:t>
      </w:r>
      <w:r w:rsidR="00B82559" w:rsidRPr="007E56A5">
        <w:rPr>
          <w:rFonts w:ascii="Arial" w:eastAsia="Calibri" w:hAnsi="Arial" w:cs="Arial"/>
          <w:sz w:val="22"/>
          <w:lang w:val="hr-HR"/>
        </w:rPr>
        <w:lastRenderedPageBreak/>
        <w:t>urbanističkog plana „Tivat-Centar“, opština Tivat</w:t>
      </w:r>
      <w:r w:rsidR="00AF7A93">
        <w:rPr>
          <w:rFonts w:ascii="Arial" w:eastAsia="Calibri" w:hAnsi="Arial" w:cs="Arial"/>
          <w:sz w:val="22"/>
          <w:lang w:val="hr-HR"/>
        </w:rPr>
        <w:t>. U</w:t>
      </w:r>
      <w:r w:rsidR="00AF7A93">
        <w:rPr>
          <w:rFonts w:ascii="Arial" w:eastAsia="Times New Roman" w:hAnsi="Arial" w:cs="Arial"/>
          <w:sz w:val="22"/>
          <w:lang w:val="en-US"/>
        </w:rPr>
        <w:t xml:space="preserve">z </w:t>
      </w:r>
      <w:proofErr w:type="spellStart"/>
      <w:r w:rsidR="00AF7A93">
        <w:rPr>
          <w:rFonts w:ascii="Arial" w:eastAsia="Times New Roman" w:hAnsi="Arial" w:cs="Arial"/>
          <w:sz w:val="22"/>
          <w:lang w:val="en-US"/>
        </w:rPr>
        <w:t>zahtjev</w:t>
      </w:r>
      <w:proofErr w:type="spellEnd"/>
      <w:r w:rsidR="00AF7A93">
        <w:rPr>
          <w:rFonts w:ascii="Arial" w:eastAsia="Times New Roman" w:hAnsi="Arial" w:cs="Arial"/>
          <w:sz w:val="22"/>
          <w:lang w:val="en-US"/>
        </w:rPr>
        <w:t xml:space="preserve"> je </w:t>
      </w:r>
      <w:proofErr w:type="spellStart"/>
      <w:r w:rsidR="00AF7A93">
        <w:rPr>
          <w:rFonts w:ascii="Arial" w:eastAsia="Times New Roman" w:hAnsi="Arial" w:cs="Arial"/>
          <w:sz w:val="22"/>
          <w:lang w:val="en-US"/>
        </w:rPr>
        <w:t>dostavljen</w:t>
      </w:r>
      <w:proofErr w:type="spellEnd"/>
      <w:r w:rsidR="00AF7A93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AF7A93">
        <w:rPr>
          <w:rFonts w:ascii="Arial" w:eastAsia="Times New Roman" w:hAnsi="Arial" w:cs="Arial"/>
          <w:sz w:val="22"/>
          <w:lang w:val="en-US"/>
        </w:rPr>
        <w:t>Elaborat</w:t>
      </w:r>
      <w:proofErr w:type="spellEnd"/>
      <w:r w:rsidR="00AF7A93">
        <w:rPr>
          <w:rFonts w:ascii="Arial" w:eastAsia="Times New Roman" w:hAnsi="Arial" w:cs="Arial"/>
          <w:sz w:val="22"/>
          <w:lang w:val="en-US"/>
        </w:rPr>
        <w:t xml:space="preserve"> u </w:t>
      </w:r>
      <w:proofErr w:type="spellStart"/>
      <w:r w:rsidR="00AF7A93">
        <w:rPr>
          <w:rFonts w:ascii="Arial" w:eastAsia="Times New Roman" w:hAnsi="Arial" w:cs="Arial"/>
          <w:sz w:val="22"/>
          <w:lang w:val="en-US"/>
        </w:rPr>
        <w:t>pisanoj</w:t>
      </w:r>
      <w:proofErr w:type="spellEnd"/>
      <w:r w:rsidR="00AF7A93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AF7A93">
        <w:rPr>
          <w:rFonts w:ascii="Arial" w:eastAsia="Times New Roman" w:hAnsi="Arial" w:cs="Arial"/>
          <w:sz w:val="22"/>
          <w:lang w:val="en-US"/>
        </w:rPr>
        <w:t>formi</w:t>
      </w:r>
      <w:proofErr w:type="spellEnd"/>
      <w:r w:rsidR="00AF7A93">
        <w:rPr>
          <w:rFonts w:ascii="Arial" w:eastAsia="Times New Roman" w:hAnsi="Arial" w:cs="Arial"/>
          <w:sz w:val="22"/>
          <w:lang w:val="en-US"/>
        </w:rPr>
        <w:t xml:space="preserve"> u tri </w:t>
      </w:r>
      <w:proofErr w:type="spellStart"/>
      <w:r w:rsidR="00AF7A93">
        <w:rPr>
          <w:rFonts w:ascii="Arial" w:eastAsia="Times New Roman" w:hAnsi="Arial" w:cs="Arial"/>
          <w:sz w:val="22"/>
          <w:lang w:val="en-US"/>
        </w:rPr>
        <w:t>primjerka</w:t>
      </w:r>
      <w:proofErr w:type="spellEnd"/>
      <w:r w:rsidR="00AF7A93">
        <w:rPr>
          <w:rFonts w:ascii="Arial" w:eastAsia="Times New Roman" w:hAnsi="Arial" w:cs="Arial"/>
          <w:sz w:val="22"/>
          <w:lang w:val="en-US"/>
        </w:rPr>
        <w:t xml:space="preserve"> i u </w:t>
      </w:r>
      <w:proofErr w:type="spellStart"/>
      <w:r w:rsidR="00AF7A93">
        <w:rPr>
          <w:rFonts w:ascii="Arial" w:eastAsia="Times New Roman" w:hAnsi="Arial" w:cs="Arial"/>
          <w:sz w:val="22"/>
          <w:lang w:val="en-US"/>
        </w:rPr>
        <w:t>elektronskom</w:t>
      </w:r>
      <w:proofErr w:type="spellEnd"/>
      <w:r w:rsidR="00AF7A93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AF7A93">
        <w:rPr>
          <w:rFonts w:ascii="Arial" w:eastAsia="Times New Roman" w:hAnsi="Arial" w:cs="Arial"/>
          <w:sz w:val="22"/>
          <w:lang w:val="en-US"/>
        </w:rPr>
        <w:t>obliku</w:t>
      </w:r>
      <w:proofErr w:type="spellEnd"/>
      <w:r w:rsidR="00AF7A93">
        <w:rPr>
          <w:rFonts w:ascii="Arial" w:eastAsia="Times New Roman" w:hAnsi="Arial" w:cs="Arial"/>
          <w:sz w:val="22"/>
          <w:lang w:val="en-US"/>
        </w:rPr>
        <w:t>.</w:t>
      </w:r>
    </w:p>
    <w:p w:rsidR="00AF7A93" w:rsidRDefault="00AF7A93" w:rsidP="00AF7A93">
      <w:pPr>
        <w:spacing w:before="0" w:after="0" w:line="240" w:lineRule="auto"/>
        <w:rPr>
          <w:rFonts w:ascii="Arial" w:eastAsia="Times New Roman" w:hAnsi="Arial" w:cs="Arial"/>
          <w:sz w:val="22"/>
          <w:lang w:val="sr-Latn-CS"/>
        </w:rPr>
      </w:pPr>
      <w:r>
        <w:rPr>
          <w:rFonts w:ascii="Arial" w:eastAsia="Times New Roman" w:hAnsi="Arial" w:cs="Arial"/>
          <w:sz w:val="22"/>
          <w:lang w:val="sr-Latn-CS"/>
        </w:rPr>
        <w:t xml:space="preserve"> </w:t>
      </w:r>
      <w:r>
        <w:rPr>
          <w:rFonts w:ascii="Arial" w:eastAsia="Times New Roman" w:hAnsi="Arial" w:cs="Arial"/>
          <w:sz w:val="22"/>
          <w:lang w:val="sr-Latn-CS"/>
        </w:rPr>
        <w:tab/>
        <w:t>U skladu sa članom 20 Zakona o procjeni uticaja na životnu sredinu, o zahtjevu i o vremenu i mjestu održavanja javne rasprave su, pism</w:t>
      </w:r>
      <w:r w:rsidR="00B82559">
        <w:rPr>
          <w:rFonts w:ascii="Arial" w:eastAsia="Times New Roman" w:hAnsi="Arial" w:cs="Arial"/>
          <w:sz w:val="22"/>
          <w:lang w:val="sr-Latn-CS"/>
        </w:rPr>
        <w:t>enim aktom broj 07-322720-upI-148/1 od 21.07</w:t>
      </w:r>
      <w:r>
        <w:rPr>
          <w:rFonts w:ascii="Arial" w:eastAsia="Times New Roman" w:hAnsi="Arial" w:cs="Arial"/>
          <w:sz w:val="22"/>
          <w:lang w:val="sr-Latn-CS"/>
        </w:rPr>
        <w:t>.2020. godine, obavješteni zainteresovani organi i organizacije, dok je zainteresovana javnost obavještena oglasom u dnevnom list</w:t>
      </w:r>
      <w:r w:rsidR="00B82559">
        <w:rPr>
          <w:rFonts w:ascii="Arial" w:eastAsia="Times New Roman" w:hAnsi="Arial" w:cs="Arial"/>
          <w:sz w:val="22"/>
          <w:lang w:val="sr-Latn-CS"/>
        </w:rPr>
        <w:t>u „Pobjeda”, objavljenim dana 22.07</w:t>
      </w:r>
      <w:r>
        <w:rPr>
          <w:rFonts w:ascii="Arial" w:eastAsia="Times New Roman" w:hAnsi="Arial" w:cs="Arial"/>
          <w:sz w:val="22"/>
          <w:lang w:val="sr-Latn-CS"/>
        </w:rPr>
        <w:t xml:space="preserve">.2020. godine, kao i na veb-sajtu Opštine Tivat </w:t>
      </w:r>
      <w:r>
        <w:fldChar w:fldCharType="begin"/>
      </w:r>
      <w:r>
        <w:instrText xml:space="preserve"> HYPERLINK "http://www.opstinativat.me" </w:instrText>
      </w:r>
      <w:r>
        <w:fldChar w:fldCharType="separate"/>
      </w:r>
      <w:r>
        <w:rPr>
          <w:rStyle w:val="Hyperlink"/>
          <w:rFonts w:eastAsia="Times New Roman"/>
          <w:sz w:val="22"/>
          <w:lang w:val="sr-Latn-CS"/>
        </w:rPr>
        <w:t>www.opstinativat.me</w:t>
      </w:r>
      <w:r>
        <w:fldChar w:fldCharType="end"/>
      </w:r>
      <w:r>
        <w:rPr>
          <w:rFonts w:ascii="Arial" w:eastAsia="Times New Roman" w:hAnsi="Arial" w:cs="Arial"/>
          <w:sz w:val="22"/>
          <w:lang w:val="sr-Latn-CS"/>
        </w:rPr>
        <w:t>. Ostavljen je rok u kojem su svi zainteresovani mogli imati uvid u predmetni Elabora</w:t>
      </w:r>
      <w:r w:rsidR="00B82559">
        <w:rPr>
          <w:rFonts w:ascii="Arial" w:eastAsia="Times New Roman" w:hAnsi="Arial" w:cs="Arial"/>
          <w:sz w:val="22"/>
          <w:lang w:val="sr-Latn-CS"/>
        </w:rPr>
        <w:t>t, a javna tribina je održana 27.08</w:t>
      </w:r>
      <w:r>
        <w:rPr>
          <w:rFonts w:ascii="Arial" w:eastAsia="Times New Roman" w:hAnsi="Arial" w:cs="Arial"/>
          <w:sz w:val="22"/>
          <w:lang w:val="sr-Latn-CS"/>
        </w:rPr>
        <w:t xml:space="preserve">.2020. godine u Opštini Tivat. </w:t>
      </w:r>
    </w:p>
    <w:p w:rsidR="00AF7A93" w:rsidRDefault="00AF7A93" w:rsidP="00AF7A93">
      <w:pPr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 w:val="22"/>
          <w:lang w:val="sr-Latn-CS"/>
        </w:rPr>
      </w:pPr>
      <w:r>
        <w:rPr>
          <w:rFonts w:ascii="Arial" w:eastAsia="Times New Roman" w:hAnsi="Arial" w:cs="Arial"/>
          <w:sz w:val="22"/>
          <w:lang w:val="sr-Latn-CS"/>
        </w:rPr>
        <w:tab/>
        <w:t>Elaborat o procjeni uticaja na životn</w:t>
      </w:r>
      <w:r w:rsidR="00B82559">
        <w:rPr>
          <w:rFonts w:ascii="Arial" w:eastAsia="Times New Roman" w:hAnsi="Arial" w:cs="Arial"/>
          <w:sz w:val="22"/>
          <w:lang w:val="sr-Latn-CS"/>
        </w:rPr>
        <w:t>u sredinu, broj 07-322/20-upI-148 od 20.07.2020.godine, dana  25.08</w:t>
      </w:r>
      <w:r>
        <w:rPr>
          <w:rFonts w:ascii="Arial" w:eastAsia="Times New Roman" w:hAnsi="Arial" w:cs="Arial"/>
          <w:sz w:val="22"/>
          <w:lang w:val="sr-Latn-CS"/>
        </w:rPr>
        <w:t>.2020. godine, a Izvještaj o javnoj raspravi, broj 07-322/2</w:t>
      </w:r>
      <w:r w:rsidR="00B82559">
        <w:rPr>
          <w:rFonts w:ascii="Arial" w:eastAsia="Times New Roman" w:hAnsi="Arial" w:cs="Arial"/>
          <w:sz w:val="22"/>
          <w:lang w:val="sr-Latn-CS"/>
        </w:rPr>
        <w:t>0-upI-148/5 od 31.08</w:t>
      </w:r>
      <w:r w:rsidR="00C14323">
        <w:rPr>
          <w:rFonts w:ascii="Arial" w:eastAsia="Times New Roman" w:hAnsi="Arial" w:cs="Arial"/>
          <w:sz w:val="22"/>
          <w:lang w:val="sr-Latn-CS"/>
        </w:rPr>
        <w:t>.2020. godine, dana 31.08</w:t>
      </w:r>
      <w:r>
        <w:rPr>
          <w:rFonts w:ascii="Arial" w:eastAsia="Times New Roman" w:hAnsi="Arial" w:cs="Arial"/>
          <w:sz w:val="22"/>
          <w:lang w:val="sr-Latn-CS"/>
        </w:rPr>
        <w:t>.2020. godine, dostavljeni su Komisiji za ocjenu elaborata</w:t>
      </w:r>
      <w:r>
        <w:rPr>
          <w:rFonts w:ascii="Arial" w:eastAsia="Times New Roman" w:hAnsi="Arial" w:cs="Arial"/>
          <w:b/>
          <w:sz w:val="22"/>
          <w:lang w:val="sr-Latn-CS"/>
        </w:rPr>
        <w:t>,</w:t>
      </w:r>
      <w:r>
        <w:rPr>
          <w:rFonts w:ascii="Arial" w:eastAsia="Times New Roman" w:hAnsi="Arial" w:cs="Arial"/>
          <w:sz w:val="22"/>
          <w:lang w:val="sr-Latn-CS"/>
        </w:rPr>
        <w:t xml:space="preserve"> koja je obrazovana Rješenjem Sekretarijata za investicije, uređenje prostora i održi</w:t>
      </w:r>
      <w:r w:rsidR="00C14323">
        <w:rPr>
          <w:rFonts w:ascii="Arial" w:eastAsia="Times New Roman" w:hAnsi="Arial" w:cs="Arial"/>
          <w:sz w:val="22"/>
          <w:lang w:val="sr-Latn-CS"/>
        </w:rPr>
        <w:t>vi razvoj, broj 07-322/20-upI-148/4 od 24.08</w:t>
      </w:r>
      <w:r>
        <w:rPr>
          <w:rFonts w:ascii="Arial" w:eastAsia="Times New Roman" w:hAnsi="Arial" w:cs="Arial"/>
          <w:sz w:val="22"/>
          <w:lang w:val="sr-Latn-CS"/>
        </w:rPr>
        <w:t>.2020. godine.</w:t>
      </w:r>
    </w:p>
    <w:p w:rsidR="00AF7A93" w:rsidRDefault="00AF7A93" w:rsidP="00AF7A93">
      <w:pPr>
        <w:spacing w:before="0" w:after="0" w:line="240" w:lineRule="auto"/>
        <w:ind w:firstLine="720"/>
        <w:rPr>
          <w:rFonts w:ascii="Arial" w:eastAsia="Times New Roman" w:hAnsi="Arial" w:cs="Arial"/>
          <w:sz w:val="22"/>
          <w:lang w:val="sr-Latn-CS"/>
        </w:rPr>
      </w:pPr>
      <w:r>
        <w:rPr>
          <w:rFonts w:ascii="Arial" w:eastAsia="Times New Roman" w:hAnsi="Arial" w:cs="Arial"/>
          <w:sz w:val="22"/>
          <w:lang w:val="sr-Latn-CS"/>
        </w:rPr>
        <w:t>Komisija za ocjenu elaborata razmotrila je dostavljenu dokumentaciju i konstatovala u I</w:t>
      </w:r>
      <w:r w:rsidR="00C14323">
        <w:rPr>
          <w:rFonts w:ascii="Arial" w:eastAsia="Times New Roman" w:hAnsi="Arial" w:cs="Arial"/>
          <w:sz w:val="22"/>
          <w:lang w:val="sr-Latn-CS"/>
        </w:rPr>
        <w:t>zvještaju, broj 07-322/20-upI-148/6 od 31.08</w:t>
      </w:r>
      <w:r>
        <w:rPr>
          <w:rFonts w:ascii="Arial" w:eastAsia="Times New Roman" w:hAnsi="Arial" w:cs="Arial"/>
          <w:sz w:val="22"/>
          <w:lang w:val="sr-Latn-CS"/>
        </w:rPr>
        <w:t xml:space="preserve">.2020. godine, da je predmetni Elaborat o procjeni uticaja na </w:t>
      </w:r>
      <w:r w:rsidR="000E1604">
        <w:rPr>
          <w:rFonts w:ascii="Arial" w:eastAsia="Times New Roman" w:hAnsi="Arial" w:cs="Arial"/>
          <w:sz w:val="22"/>
          <w:lang w:val="sr-Latn-CS"/>
        </w:rPr>
        <w:t>ž</w:t>
      </w:r>
      <w:r>
        <w:rPr>
          <w:rFonts w:ascii="Arial" w:eastAsia="Times New Roman" w:hAnsi="Arial" w:cs="Arial"/>
          <w:sz w:val="22"/>
          <w:lang w:val="sr-Latn-CS"/>
        </w:rPr>
        <w:t>ivotnu sredinu potrebno dopuniti u skladu sa primjedbama datim u pomenutom Izvještaju. Sekretarijat za investicije, uređenje prostora i održivi razvoj je nosiocu projekta dostavio Zahtjev za ispravku</w:t>
      </w:r>
      <w:r w:rsidR="00C14323">
        <w:rPr>
          <w:rFonts w:ascii="Arial" w:eastAsia="Times New Roman" w:hAnsi="Arial" w:cs="Arial"/>
          <w:sz w:val="22"/>
          <w:lang w:val="sr-Latn-CS"/>
        </w:rPr>
        <w:t xml:space="preserve"> podneska, broj 07-322/20-upI-148/7 od 0</w:t>
      </w:r>
      <w:r>
        <w:rPr>
          <w:rFonts w:ascii="Arial" w:eastAsia="Times New Roman" w:hAnsi="Arial" w:cs="Arial"/>
          <w:sz w:val="22"/>
          <w:lang w:val="sr-Latn-CS"/>
        </w:rPr>
        <w:t xml:space="preserve">1.09.2020. godine, sa pomenutim Izvještajem u prilogu, u kojem se nalaže nosiocu projekta da izvrši izmjene i dopune u skladu sa navedenim primjedbama i dostavi ovom organu </w:t>
      </w:r>
      <w:r w:rsidR="00C14323">
        <w:rPr>
          <w:rFonts w:ascii="Arial" w:eastAsia="Times New Roman" w:hAnsi="Arial" w:cs="Arial"/>
          <w:sz w:val="22"/>
          <w:lang w:val="sr-Latn-CS"/>
        </w:rPr>
        <w:t>inovirani Elaborat u roku od tri</w:t>
      </w:r>
      <w:r>
        <w:rPr>
          <w:rFonts w:ascii="Arial" w:eastAsia="Times New Roman" w:hAnsi="Arial" w:cs="Arial"/>
          <w:sz w:val="22"/>
          <w:lang w:val="sr-Latn-CS"/>
        </w:rPr>
        <w:t>deset dana od dana prijema ovog akta.</w:t>
      </w:r>
    </w:p>
    <w:p w:rsidR="00AF7A93" w:rsidRDefault="00AF7A93" w:rsidP="00AF7A93">
      <w:pPr>
        <w:spacing w:before="0" w:after="0" w:line="240" w:lineRule="auto"/>
        <w:ind w:firstLine="720"/>
        <w:rPr>
          <w:rFonts w:ascii="Arial" w:eastAsia="Times New Roman" w:hAnsi="Arial" w:cs="Arial"/>
          <w:sz w:val="22"/>
          <w:lang w:val="sr-Latn-CS"/>
        </w:rPr>
      </w:pPr>
      <w:r>
        <w:rPr>
          <w:rFonts w:ascii="Arial" w:eastAsia="Times New Roman" w:hAnsi="Arial" w:cs="Arial"/>
          <w:sz w:val="22"/>
          <w:lang w:val="sr-Latn-CS"/>
        </w:rPr>
        <w:t>Sekretarijatu za investicije, uređenje prostora i održivi razvoj dostavljen je inovirani Elaborat o procjeni uticaja na ži</w:t>
      </w:r>
      <w:r w:rsidR="00C14323">
        <w:rPr>
          <w:rFonts w:ascii="Arial" w:eastAsia="Times New Roman" w:hAnsi="Arial" w:cs="Arial"/>
          <w:sz w:val="22"/>
          <w:lang w:val="sr-Latn-CS"/>
        </w:rPr>
        <w:t>votnu sredinu, broj 07-353-up-148/10 od 08</w:t>
      </w:r>
      <w:r w:rsidR="000E1604">
        <w:rPr>
          <w:rFonts w:ascii="Arial" w:eastAsia="Times New Roman" w:hAnsi="Arial" w:cs="Arial"/>
          <w:sz w:val="22"/>
          <w:lang w:val="sr-Latn-CS"/>
        </w:rPr>
        <w:t>.10</w:t>
      </w:r>
      <w:r>
        <w:rPr>
          <w:rFonts w:ascii="Arial" w:eastAsia="Times New Roman" w:hAnsi="Arial" w:cs="Arial"/>
          <w:sz w:val="22"/>
          <w:lang w:val="sr-Latn-CS"/>
        </w:rPr>
        <w:t>.2020. g</w:t>
      </w:r>
      <w:r w:rsidR="00C14323">
        <w:rPr>
          <w:rFonts w:ascii="Arial" w:eastAsia="Times New Roman" w:hAnsi="Arial" w:cs="Arial"/>
          <w:sz w:val="22"/>
          <w:lang w:val="sr-Latn-CS"/>
        </w:rPr>
        <w:t>odine, izrađen od strane „Liming</w:t>
      </w:r>
      <w:r>
        <w:rPr>
          <w:rFonts w:ascii="Arial" w:eastAsia="Times New Roman" w:hAnsi="Arial" w:cs="Arial"/>
          <w:sz w:val="22"/>
          <w:lang w:val="sr-Latn-CS"/>
        </w:rPr>
        <w:t xml:space="preserve">“ doo iz Podgorice, iz </w:t>
      </w:r>
      <w:r w:rsidR="000E1604">
        <w:rPr>
          <w:rFonts w:ascii="Arial" w:eastAsia="Times New Roman" w:hAnsi="Arial" w:cs="Arial"/>
          <w:sz w:val="22"/>
          <w:lang w:val="sr-Latn-CS"/>
        </w:rPr>
        <w:t>oktobra mjeseca</w:t>
      </w:r>
      <w:r>
        <w:rPr>
          <w:rFonts w:ascii="Arial" w:eastAsia="Times New Roman" w:hAnsi="Arial" w:cs="Arial"/>
          <w:sz w:val="22"/>
          <w:lang w:val="sr-Latn-CS"/>
        </w:rPr>
        <w:t xml:space="preserve"> 2020. godine, koji je proslijeđen Komi</w:t>
      </w:r>
      <w:r w:rsidR="00C14323">
        <w:rPr>
          <w:rFonts w:ascii="Arial" w:eastAsia="Times New Roman" w:hAnsi="Arial" w:cs="Arial"/>
          <w:sz w:val="22"/>
          <w:lang w:val="sr-Latn-CS"/>
        </w:rPr>
        <w:t>siji za ocjenu elaborata dana 08.10</w:t>
      </w:r>
      <w:r>
        <w:rPr>
          <w:rFonts w:ascii="Arial" w:eastAsia="Times New Roman" w:hAnsi="Arial" w:cs="Arial"/>
          <w:sz w:val="22"/>
          <w:lang w:val="sr-Latn-CS"/>
        </w:rPr>
        <w:t xml:space="preserve">.2020. godine. Komisija za ocjenu elaborata dostavila je </w:t>
      </w:r>
      <w:r w:rsidR="00C14323">
        <w:rPr>
          <w:rFonts w:ascii="Arial" w:eastAsia="Times New Roman" w:hAnsi="Arial" w:cs="Arial"/>
          <w:sz w:val="22"/>
          <w:lang w:val="sr-Latn-CS"/>
        </w:rPr>
        <w:t>Izvještaj broj, 07-322/20-upI-14</w:t>
      </w:r>
      <w:r>
        <w:rPr>
          <w:rFonts w:ascii="Arial" w:eastAsia="Times New Roman" w:hAnsi="Arial" w:cs="Arial"/>
          <w:sz w:val="22"/>
          <w:lang w:val="sr-Latn-CS"/>
        </w:rPr>
        <w:t xml:space="preserve">8/11 od </w:t>
      </w:r>
      <w:r w:rsidR="000E1604" w:rsidRPr="000E1604">
        <w:rPr>
          <w:rFonts w:ascii="Arial" w:eastAsia="Times New Roman" w:hAnsi="Arial" w:cs="Arial"/>
          <w:sz w:val="22"/>
          <w:lang w:val="sr-Latn-CS"/>
        </w:rPr>
        <w:t>16</w:t>
      </w:r>
      <w:r w:rsidRPr="000E1604">
        <w:rPr>
          <w:rFonts w:ascii="Arial" w:eastAsia="Times New Roman" w:hAnsi="Arial" w:cs="Arial"/>
          <w:sz w:val="22"/>
          <w:lang w:val="sr-Latn-CS"/>
        </w:rPr>
        <w:t>.10.2020. godine,</w:t>
      </w:r>
      <w:r>
        <w:rPr>
          <w:rFonts w:ascii="Arial" w:eastAsia="Times New Roman" w:hAnsi="Arial" w:cs="Arial"/>
          <w:sz w:val="22"/>
          <w:lang w:val="sr-Latn-CS"/>
        </w:rPr>
        <w:t xml:space="preserve"> sa predlogom davanja saglasnosti na predmetni, inovirani Elaborat.</w:t>
      </w:r>
      <w:r>
        <w:rPr>
          <w:rFonts w:ascii="Arial" w:eastAsia="Times New Roman" w:hAnsi="Arial" w:cs="Arial"/>
          <w:sz w:val="22"/>
          <w:lang w:val="hr-HR"/>
        </w:rPr>
        <w:t xml:space="preserve"> </w:t>
      </w:r>
      <w:r>
        <w:rPr>
          <w:rFonts w:ascii="Arial" w:eastAsia="Times New Roman" w:hAnsi="Arial" w:cs="Arial"/>
          <w:sz w:val="22"/>
          <w:lang w:val="sr-Latn-CS"/>
        </w:rPr>
        <w:t xml:space="preserve"> </w:t>
      </w:r>
    </w:p>
    <w:p w:rsidR="00AF7A93" w:rsidRDefault="00AF7A93" w:rsidP="00AF7A93">
      <w:pPr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 w:val="22"/>
          <w:lang w:val="en-GB" w:eastAsia="en-GB"/>
        </w:rPr>
      </w:pPr>
      <w:r>
        <w:rPr>
          <w:rFonts w:ascii="Arial" w:eastAsia="Times New Roman" w:hAnsi="Arial" w:cs="Arial"/>
          <w:sz w:val="22"/>
          <w:lang w:val="sr-Latn-CS"/>
        </w:rPr>
        <w:t xml:space="preserve"> </w:t>
      </w:r>
      <w:r>
        <w:rPr>
          <w:rFonts w:ascii="Arial" w:eastAsia="Times New Roman" w:hAnsi="Arial" w:cs="Arial"/>
          <w:sz w:val="22"/>
          <w:lang w:val="sr-Latn-CS"/>
        </w:rPr>
        <w:tab/>
        <w:t xml:space="preserve">Odredbom člana 24 stav 1 Zakona o procjeni uticaja na životnu sredinu propisano je da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odluku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o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davanju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saglasnosti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ili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odbijanju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zahtjeva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za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davanje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saglasnosti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na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elaborat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,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donosi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nadležni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organ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na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osnovu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izvještaja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i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predloga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odluke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komisije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za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ocjenu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elaborata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>.</w:t>
      </w:r>
    </w:p>
    <w:p w:rsidR="00AF7A93" w:rsidRDefault="00AF7A93" w:rsidP="00AF7A93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Arial" w:eastAsia="Times New Roman" w:hAnsi="Arial" w:cs="Arial"/>
          <w:sz w:val="22"/>
          <w:lang w:val="sr-Latn-CS"/>
        </w:rPr>
      </w:pPr>
      <w:r>
        <w:rPr>
          <w:rFonts w:ascii="Arial" w:eastAsia="Times New Roman" w:hAnsi="Arial" w:cs="Arial"/>
          <w:sz w:val="22"/>
          <w:lang w:val="sr-Latn-CS"/>
        </w:rPr>
        <w:t xml:space="preserve">Imajući u vidu navedeno, Sekretarijat za investicije, uređenje prostora i održivi razvoj, na osnovu sprovedenog postupka, razmatranja Elaborata o procjeni uticaja na životnu sredinu, uvida u dostavljeni Izvještaj Komisije, a sa primjenom odredaba člana 24 Zakona o procjeni uticaja na životnu sredinu, odlučio je da izda saglasnost na predmetni, inovirani Elaborat. </w:t>
      </w:r>
    </w:p>
    <w:p w:rsidR="00AF7A93" w:rsidRDefault="00AF7A93" w:rsidP="00AF7A93">
      <w:pPr>
        <w:spacing w:before="0" w:after="0" w:line="240" w:lineRule="auto"/>
        <w:ind w:firstLine="720"/>
        <w:rPr>
          <w:rFonts w:ascii="Arial" w:eastAsia="Times New Roman" w:hAnsi="Arial" w:cs="Arial"/>
          <w:sz w:val="22"/>
          <w:lang w:val="hr-HR"/>
        </w:rPr>
      </w:pPr>
      <w:r>
        <w:rPr>
          <w:rFonts w:ascii="Arial" w:eastAsia="Times New Roman" w:hAnsi="Arial" w:cs="Arial"/>
          <w:sz w:val="22"/>
          <w:lang w:val="sr-Latn-CS"/>
        </w:rPr>
        <w:t>Ovim Rješenjem utvrđena je obaveza nosiocu projekta da planirani projekat</w:t>
      </w:r>
      <w:r>
        <w:rPr>
          <w:rFonts w:ascii="Arial" w:hAnsi="Arial" w:cs="Arial"/>
          <w:sz w:val="22"/>
          <w:lang w:val="hr-HR"/>
        </w:rPr>
        <w:t xml:space="preserve"> </w:t>
      </w:r>
      <w:r w:rsidR="00C14323">
        <w:rPr>
          <w:rFonts w:ascii="Arial" w:eastAsia="Calibri" w:hAnsi="Arial" w:cs="Arial"/>
          <w:sz w:val="22"/>
          <w:lang w:val="hr-HR"/>
        </w:rPr>
        <w:t>Edukativno-konferencijskog centra</w:t>
      </w:r>
      <w:r w:rsidR="00C14323" w:rsidRPr="007E56A5">
        <w:rPr>
          <w:rFonts w:ascii="Arial" w:eastAsia="Calibri" w:hAnsi="Arial" w:cs="Arial"/>
          <w:sz w:val="22"/>
          <w:lang w:val="hr-HR"/>
        </w:rPr>
        <w:t xml:space="preserve"> </w:t>
      </w:r>
      <w:r w:rsidR="00C14323">
        <w:rPr>
          <w:rFonts w:ascii="Arial" w:eastAsia="Calibri" w:hAnsi="Arial" w:cs="Arial"/>
          <w:sz w:val="22"/>
          <w:lang w:val="hr-HR"/>
        </w:rPr>
        <w:t xml:space="preserve">CBCG, </w:t>
      </w:r>
      <w:r w:rsidR="00C14323" w:rsidRPr="007E56A5">
        <w:rPr>
          <w:rFonts w:ascii="Arial" w:eastAsia="Calibri" w:hAnsi="Arial" w:cs="Arial"/>
          <w:sz w:val="22"/>
          <w:lang w:val="hr-HR"/>
        </w:rPr>
        <w:t>na UP 10, Zona A, kat.parc.br.972/2</w:t>
      </w:r>
      <w:r w:rsidR="00C14323">
        <w:rPr>
          <w:rFonts w:ascii="Arial" w:eastAsia="Calibri" w:hAnsi="Arial" w:cs="Arial"/>
          <w:sz w:val="22"/>
          <w:lang w:val="hr-HR"/>
        </w:rPr>
        <w:t xml:space="preserve"> KO Tivat</w:t>
      </w:r>
      <w:r w:rsidR="00C14323" w:rsidRPr="007E56A5">
        <w:rPr>
          <w:rFonts w:ascii="Arial" w:eastAsia="Calibri" w:hAnsi="Arial" w:cs="Arial"/>
          <w:sz w:val="22"/>
          <w:lang w:val="hr-HR"/>
        </w:rPr>
        <w:t>, u obuhvatu Detaljnog urbanističkog plana „Tivat-Centar“, opština Tivat</w:t>
      </w:r>
      <w:r>
        <w:rPr>
          <w:rFonts w:ascii="Arial" w:eastAsia="Calibri" w:hAnsi="Arial" w:cs="Arial"/>
          <w:sz w:val="22"/>
          <w:lang w:val="hr-HR"/>
        </w:rPr>
        <w:t>,</w:t>
      </w:r>
      <w:r>
        <w:rPr>
          <w:rFonts w:ascii="Arial" w:eastAsia="Times New Roman" w:hAnsi="Arial" w:cs="Arial"/>
          <w:sz w:val="22"/>
          <w:lang w:val="sr-Latn-CS"/>
        </w:rPr>
        <w:t xml:space="preserve"> realizuje u svemu prema mjerama zaštite životne sredine utvrđenim u predmetnom Elaboratu o procjeni uticaja na životnu sredinu. Realizovanost mjera zaštite životne sredine definisanih u Elaboratu o procjeni uticaja na životnu sredinu </w:t>
      </w:r>
      <w:r w:rsidR="00C14323" w:rsidRPr="007E56A5">
        <w:rPr>
          <w:rFonts w:ascii="Arial" w:hAnsi="Arial" w:cs="Arial"/>
          <w:sz w:val="22"/>
          <w:lang w:val="sr-Latn-CS" w:eastAsia="sr-Latn-BA"/>
        </w:rPr>
        <w:t xml:space="preserve">za </w:t>
      </w:r>
      <w:r w:rsidR="00C14323" w:rsidRPr="007E56A5">
        <w:rPr>
          <w:rFonts w:ascii="Arial" w:eastAsia="Calibri" w:hAnsi="Arial" w:cs="Arial"/>
          <w:sz w:val="22"/>
          <w:lang w:val="hr-HR"/>
        </w:rPr>
        <w:t xml:space="preserve">Edukativno-konferencijski centar </w:t>
      </w:r>
      <w:r w:rsidR="00C14323">
        <w:rPr>
          <w:rFonts w:ascii="Arial" w:eastAsia="Calibri" w:hAnsi="Arial" w:cs="Arial"/>
          <w:sz w:val="22"/>
          <w:lang w:val="hr-HR"/>
        </w:rPr>
        <w:t xml:space="preserve">CBCG, </w:t>
      </w:r>
      <w:r w:rsidR="00C14323" w:rsidRPr="007E56A5">
        <w:rPr>
          <w:rFonts w:ascii="Arial" w:eastAsia="Calibri" w:hAnsi="Arial" w:cs="Arial"/>
          <w:sz w:val="22"/>
          <w:lang w:val="hr-HR"/>
        </w:rPr>
        <w:t>na UP 10, Zona A, kat.parc.br.972/2</w:t>
      </w:r>
      <w:r w:rsidR="00C14323">
        <w:rPr>
          <w:rFonts w:ascii="Arial" w:eastAsia="Calibri" w:hAnsi="Arial" w:cs="Arial"/>
          <w:sz w:val="22"/>
          <w:lang w:val="hr-HR"/>
        </w:rPr>
        <w:t xml:space="preserve"> KO Tivat</w:t>
      </w:r>
      <w:r w:rsidR="00C14323" w:rsidRPr="007E56A5">
        <w:rPr>
          <w:rFonts w:ascii="Arial" w:eastAsia="Calibri" w:hAnsi="Arial" w:cs="Arial"/>
          <w:sz w:val="22"/>
          <w:lang w:val="hr-HR"/>
        </w:rPr>
        <w:t>, u obuhvatu Detaljnog urbanističkog plana „Tivat-Centar“, opština Tivat</w:t>
      </w:r>
      <w:r>
        <w:rPr>
          <w:rFonts w:ascii="Arial" w:eastAsia="Times New Roman" w:hAnsi="Arial" w:cs="Arial"/>
          <w:sz w:val="22"/>
          <w:lang w:val="hr-HR"/>
        </w:rPr>
        <w:t>,</w:t>
      </w:r>
      <w:r w:rsidR="00C14323">
        <w:rPr>
          <w:rFonts w:ascii="Arial" w:eastAsia="Times New Roman" w:hAnsi="Arial" w:cs="Arial"/>
          <w:sz w:val="22"/>
          <w:lang w:val="sr-Latn-CS"/>
        </w:rPr>
        <w:t xml:space="preserve"> broj 07-322/20-upI-148/10 od 08.10</w:t>
      </w:r>
      <w:r>
        <w:rPr>
          <w:rFonts w:ascii="Arial" w:eastAsia="Times New Roman" w:hAnsi="Arial" w:cs="Arial"/>
          <w:sz w:val="22"/>
          <w:lang w:val="sr-Latn-CS"/>
        </w:rPr>
        <w:t>.2020. g</w:t>
      </w:r>
      <w:r w:rsidR="00C14323">
        <w:rPr>
          <w:rFonts w:ascii="Arial" w:eastAsia="Times New Roman" w:hAnsi="Arial" w:cs="Arial"/>
          <w:sz w:val="22"/>
          <w:lang w:val="sr-Latn-CS"/>
        </w:rPr>
        <w:t>odine, izrađen od strane „Liming</w:t>
      </w:r>
      <w:r>
        <w:rPr>
          <w:rFonts w:ascii="Arial" w:eastAsia="Times New Roman" w:hAnsi="Arial" w:cs="Arial"/>
          <w:sz w:val="22"/>
          <w:lang w:val="sr-Latn-CS"/>
        </w:rPr>
        <w:t xml:space="preserve">“ doo iz Podgorice, iz </w:t>
      </w:r>
      <w:r w:rsidR="000E1604">
        <w:rPr>
          <w:rFonts w:ascii="Arial" w:eastAsia="Times New Roman" w:hAnsi="Arial" w:cs="Arial"/>
          <w:sz w:val="22"/>
          <w:lang w:val="sr-Latn-CS"/>
        </w:rPr>
        <w:t xml:space="preserve">oktobra mjeseca </w:t>
      </w:r>
      <w:bookmarkStart w:id="0" w:name="_GoBack"/>
      <w:bookmarkEnd w:id="0"/>
      <w:r>
        <w:rPr>
          <w:rFonts w:ascii="Arial" w:eastAsia="Times New Roman" w:hAnsi="Arial" w:cs="Arial"/>
          <w:sz w:val="22"/>
          <w:lang w:val="sr-Latn-CS"/>
        </w:rPr>
        <w:t>2020. godine, na koji je data saglasnost, utvrđuje nadležni organ - Ekološka inspekcija, te je nosilac projekta obavezan da obavijesti nadležni organ - Ekološku inspekciju, prije početka izvođenja radova, kako bi isti, shodno članu 26 Zakona o procjeni uticaja na životnu sredinu, utvrdio da li su realizovane sve mjere predviđene predmetnim Elaboratom o procjeni uticaja na životnu sredinu.</w:t>
      </w:r>
    </w:p>
    <w:p w:rsidR="00AF7A93" w:rsidRDefault="00AF7A93" w:rsidP="00AF7A93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Arial" w:eastAsia="Times New Roman" w:hAnsi="Arial" w:cs="Arial"/>
          <w:sz w:val="22"/>
          <w:lang w:val="sr-Latn-CS"/>
        </w:rPr>
      </w:pPr>
      <w:r>
        <w:rPr>
          <w:rFonts w:ascii="Arial" w:eastAsia="Times New Roman" w:hAnsi="Arial" w:cs="Arial"/>
          <w:sz w:val="22"/>
          <w:lang w:val="sr-Latn-CS"/>
        </w:rPr>
        <w:t xml:space="preserve">Ovo </w:t>
      </w:r>
      <w:proofErr w:type="spellStart"/>
      <w:r>
        <w:rPr>
          <w:rFonts w:ascii="Arial" w:eastAsia="Times New Roman" w:hAnsi="Arial" w:cs="Arial"/>
          <w:sz w:val="22"/>
          <w:lang w:val="en-US"/>
        </w:rPr>
        <w:t>rješenje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US"/>
        </w:rPr>
        <w:t>prestaje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da </w:t>
      </w:r>
      <w:proofErr w:type="spellStart"/>
      <w:r>
        <w:rPr>
          <w:rFonts w:ascii="Arial" w:eastAsia="Times New Roman" w:hAnsi="Arial" w:cs="Arial"/>
          <w:sz w:val="22"/>
          <w:lang w:val="en-US"/>
        </w:rPr>
        <w:t>važi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US"/>
        </w:rPr>
        <w:t>ukoliko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US"/>
        </w:rPr>
        <w:t>nosilac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US"/>
        </w:rPr>
        <w:t>projekta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ne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pribavi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građevinsku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dozvolu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ili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podnese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prijavu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početka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građenja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ili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odobrenje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ili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saglasnost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za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izvođenje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projekta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u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roku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od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dvije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godine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od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dana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prijema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ovog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rješenja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, </w:t>
      </w:r>
      <w:r>
        <w:rPr>
          <w:rFonts w:ascii="Arial" w:eastAsia="Times New Roman" w:hAnsi="Arial" w:cs="Arial"/>
          <w:sz w:val="22"/>
          <w:lang w:val="sr-Latn-CS"/>
        </w:rPr>
        <w:t>u smislu člana 25 Zakona o procjeni uticaja na životnu sredinu.</w:t>
      </w:r>
    </w:p>
    <w:p w:rsidR="00AF7A93" w:rsidRDefault="00AF7A93" w:rsidP="00AF7A93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Arial" w:eastAsia="Times New Roman" w:hAnsi="Arial" w:cs="Arial"/>
          <w:sz w:val="22"/>
          <w:lang w:val="sr-Latn-CS"/>
        </w:rPr>
      </w:pPr>
    </w:p>
    <w:p w:rsidR="00AF7A93" w:rsidRDefault="00AF7A93" w:rsidP="00AF7A93">
      <w:pPr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 w:val="22"/>
          <w:lang w:val="sr-Latn-CS"/>
        </w:rPr>
      </w:pPr>
    </w:p>
    <w:p w:rsidR="00AF7A93" w:rsidRDefault="00AF7A93" w:rsidP="00AF7A93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Arial" w:eastAsia="Times New Roman" w:hAnsi="Arial" w:cs="Arial"/>
          <w:sz w:val="22"/>
          <w:lang w:val="en-US"/>
        </w:rPr>
      </w:pPr>
      <w:proofErr w:type="spellStart"/>
      <w:r>
        <w:rPr>
          <w:rFonts w:ascii="Arial" w:eastAsia="Times New Roman" w:hAnsi="Arial" w:cs="Arial"/>
          <w:sz w:val="22"/>
          <w:lang w:val="en-US"/>
        </w:rPr>
        <w:lastRenderedPageBreak/>
        <w:t>Sekretarijat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za </w:t>
      </w:r>
      <w:proofErr w:type="spellStart"/>
      <w:r>
        <w:rPr>
          <w:rFonts w:ascii="Arial" w:eastAsia="Times New Roman" w:hAnsi="Arial" w:cs="Arial"/>
          <w:sz w:val="22"/>
          <w:lang w:val="en-US"/>
        </w:rPr>
        <w:t>investicije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, </w:t>
      </w:r>
      <w:proofErr w:type="spellStart"/>
      <w:r>
        <w:rPr>
          <w:rFonts w:ascii="Arial" w:eastAsia="Times New Roman" w:hAnsi="Arial" w:cs="Arial"/>
          <w:sz w:val="22"/>
          <w:lang w:val="en-US"/>
        </w:rPr>
        <w:t>uređenje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US"/>
        </w:rPr>
        <w:t>prostora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i </w:t>
      </w:r>
      <w:proofErr w:type="spellStart"/>
      <w:r>
        <w:rPr>
          <w:rFonts w:ascii="Arial" w:eastAsia="Times New Roman" w:hAnsi="Arial" w:cs="Arial"/>
          <w:sz w:val="22"/>
          <w:lang w:val="en-US"/>
        </w:rPr>
        <w:t>održivi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razvoj </w:t>
      </w:r>
      <w:proofErr w:type="spellStart"/>
      <w:r>
        <w:rPr>
          <w:rFonts w:ascii="Arial" w:eastAsia="Times New Roman" w:hAnsi="Arial" w:cs="Arial"/>
          <w:sz w:val="22"/>
          <w:lang w:val="en-US"/>
        </w:rPr>
        <w:t>obavijestiće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US"/>
        </w:rPr>
        <w:t>zainteresovane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US"/>
        </w:rPr>
        <w:t>organe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i </w:t>
      </w:r>
      <w:proofErr w:type="spellStart"/>
      <w:r>
        <w:rPr>
          <w:rFonts w:ascii="Arial" w:eastAsia="Times New Roman" w:hAnsi="Arial" w:cs="Arial"/>
          <w:sz w:val="22"/>
          <w:lang w:val="en-US"/>
        </w:rPr>
        <w:t>organizacije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o </w:t>
      </w:r>
      <w:proofErr w:type="spellStart"/>
      <w:r>
        <w:rPr>
          <w:rFonts w:ascii="Arial" w:eastAsia="Times New Roman" w:hAnsi="Arial" w:cs="Arial"/>
          <w:sz w:val="22"/>
          <w:lang w:val="en-US"/>
        </w:rPr>
        <w:t>donijetoj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US"/>
        </w:rPr>
        <w:t>odluci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u </w:t>
      </w:r>
      <w:proofErr w:type="spellStart"/>
      <w:r>
        <w:rPr>
          <w:rFonts w:ascii="Arial" w:eastAsia="Times New Roman" w:hAnsi="Arial" w:cs="Arial"/>
          <w:sz w:val="22"/>
          <w:lang w:val="en-US"/>
        </w:rPr>
        <w:t>skladu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sz w:val="22"/>
          <w:lang w:val="en-US"/>
        </w:rPr>
        <w:t>sa</w:t>
      </w:r>
      <w:proofErr w:type="spellEnd"/>
      <w:proofErr w:type="gramEnd"/>
      <w:r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US"/>
        </w:rPr>
        <w:t>odredbama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US"/>
        </w:rPr>
        <w:t>Zakona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o </w:t>
      </w:r>
      <w:proofErr w:type="spellStart"/>
      <w:r>
        <w:rPr>
          <w:rFonts w:ascii="Arial" w:eastAsia="Times New Roman" w:hAnsi="Arial" w:cs="Arial"/>
          <w:sz w:val="22"/>
          <w:lang w:val="en-US"/>
        </w:rPr>
        <w:t>procjeni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US"/>
        </w:rPr>
        <w:t>uticaja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US"/>
        </w:rPr>
        <w:t>na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US"/>
        </w:rPr>
        <w:t>životnu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US"/>
        </w:rPr>
        <w:t>sredinu</w:t>
      </w:r>
      <w:proofErr w:type="spellEnd"/>
      <w:r>
        <w:rPr>
          <w:rFonts w:ascii="Arial" w:eastAsia="Times New Roman" w:hAnsi="Arial" w:cs="Arial"/>
          <w:sz w:val="22"/>
          <w:lang w:val="en-US"/>
        </w:rPr>
        <w:t>.</w:t>
      </w:r>
    </w:p>
    <w:p w:rsidR="00AF7A93" w:rsidRDefault="00AF7A93" w:rsidP="00AF7A93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Arial" w:eastAsia="Times New Roman" w:hAnsi="Arial" w:cs="Arial"/>
          <w:sz w:val="22"/>
          <w:lang w:val="en-US"/>
        </w:rPr>
      </w:pPr>
    </w:p>
    <w:p w:rsidR="00AF7A93" w:rsidRDefault="00AF7A93" w:rsidP="00AF7A93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Arial" w:eastAsia="Times New Roman" w:hAnsi="Arial" w:cs="Arial"/>
          <w:sz w:val="22"/>
          <w:lang w:val="en-US"/>
        </w:rPr>
      </w:pPr>
      <w:proofErr w:type="gramStart"/>
      <w:r>
        <w:rPr>
          <w:rFonts w:ascii="Arial" w:eastAsia="Times New Roman" w:hAnsi="Arial" w:cs="Arial"/>
          <w:sz w:val="22"/>
          <w:lang w:val="en-US"/>
        </w:rPr>
        <w:t xml:space="preserve">Na </w:t>
      </w:r>
      <w:proofErr w:type="spellStart"/>
      <w:r>
        <w:rPr>
          <w:rFonts w:ascii="Arial" w:eastAsia="Times New Roman" w:hAnsi="Arial" w:cs="Arial"/>
          <w:sz w:val="22"/>
          <w:lang w:val="en-US"/>
        </w:rPr>
        <w:t>osnovu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US"/>
        </w:rPr>
        <w:t>prednje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US"/>
        </w:rPr>
        <w:t>izloženog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US"/>
        </w:rPr>
        <w:t>odlučeno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je </w:t>
      </w:r>
      <w:proofErr w:type="spellStart"/>
      <w:r>
        <w:rPr>
          <w:rFonts w:ascii="Arial" w:eastAsia="Times New Roman" w:hAnsi="Arial" w:cs="Arial"/>
          <w:sz w:val="22"/>
          <w:lang w:val="en-US"/>
        </w:rPr>
        <w:t>kao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u </w:t>
      </w:r>
      <w:proofErr w:type="spellStart"/>
      <w:r>
        <w:rPr>
          <w:rFonts w:ascii="Arial" w:eastAsia="Times New Roman" w:hAnsi="Arial" w:cs="Arial"/>
          <w:sz w:val="22"/>
          <w:lang w:val="en-US"/>
        </w:rPr>
        <w:t>dispozitivu</w:t>
      </w:r>
      <w:proofErr w:type="spellEnd"/>
      <w:r>
        <w:rPr>
          <w:rFonts w:ascii="Arial" w:eastAsia="Times New Roman" w:hAnsi="Arial" w:cs="Arial"/>
          <w:sz w:val="22"/>
          <w:lang w:val="en-US"/>
        </w:rPr>
        <w:t>.</w:t>
      </w:r>
      <w:proofErr w:type="gramEnd"/>
    </w:p>
    <w:p w:rsidR="00AF7A93" w:rsidRDefault="00AF7A93" w:rsidP="00AF7A93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Arial" w:eastAsia="Times New Roman" w:hAnsi="Arial" w:cs="Arial"/>
          <w:sz w:val="22"/>
          <w:lang w:val="en-US"/>
        </w:rPr>
      </w:pPr>
    </w:p>
    <w:p w:rsidR="00AF7A93" w:rsidRDefault="00AF7A93" w:rsidP="00AF7A93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Arial" w:eastAsia="Times New Roman" w:hAnsi="Arial" w:cs="Arial"/>
          <w:sz w:val="22"/>
          <w:lang w:val="en-US"/>
        </w:rPr>
      </w:pPr>
    </w:p>
    <w:p w:rsidR="00AF7A93" w:rsidRDefault="00AF7A93" w:rsidP="00AF7A93">
      <w:pPr>
        <w:spacing w:before="0" w:after="0" w:line="240" w:lineRule="auto"/>
        <w:ind w:firstLine="720"/>
        <w:rPr>
          <w:rFonts w:ascii="Arial" w:eastAsia="Times New Roman" w:hAnsi="Arial" w:cs="Arial"/>
          <w:sz w:val="22"/>
          <w:lang w:val="sr-Latn-CS"/>
        </w:rPr>
      </w:pPr>
      <w:r>
        <w:rPr>
          <w:rFonts w:ascii="Arial" w:eastAsia="Times New Roman" w:hAnsi="Arial" w:cs="Arial"/>
          <w:b/>
          <w:sz w:val="22"/>
          <w:lang w:val="hr-HR"/>
        </w:rPr>
        <w:t>Uputstvo o pravnoj zaštiti:</w:t>
      </w:r>
      <w:r>
        <w:rPr>
          <w:rFonts w:ascii="Arial" w:eastAsia="Times New Roman" w:hAnsi="Arial" w:cs="Arial"/>
          <w:sz w:val="22"/>
          <w:lang w:val="hr-HR"/>
        </w:rPr>
        <w:t xml:space="preserve"> Protiv ovog Rješenja može se izjaviti žalba Glavnom administratoru Opštine Tivat u roku od 15 dana od dana prijema Rješenja. Žalba se ulaže preko ovog Sekretarijata uz uplatu administrativne takse u iznosu od 5</w:t>
      </w:r>
      <w:r>
        <w:rPr>
          <w:rFonts w:ascii="Arial" w:eastAsia="Times New Roman" w:hAnsi="Arial" w:cs="Arial"/>
          <w:sz w:val="22"/>
          <w:lang w:val="sr-Latn-CS"/>
        </w:rPr>
        <w:t xml:space="preserve"> </w:t>
      </w:r>
      <w:r>
        <w:rPr>
          <w:rFonts w:ascii="Arial" w:eastAsia="Times New Roman" w:hAnsi="Arial" w:cs="Arial"/>
          <w:sz w:val="22"/>
          <w:lang w:val="sl-SI"/>
        </w:rPr>
        <w:t>€ na žiro račun broj 510-9146777-39.</w:t>
      </w:r>
    </w:p>
    <w:p w:rsidR="00AF7A93" w:rsidRDefault="00AF7A93" w:rsidP="00AF7A93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Arial" w:eastAsia="Times New Roman" w:hAnsi="Arial" w:cs="Arial"/>
          <w:sz w:val="22"/>
          <w:lang w:val="en-US"/>
        </w:rPr>
      </w:pPr>
    </w:p>
    <w:p w:rsidR="00AF7A93" w:rsidRDefault="00AF7A93" w:rsidP="00AF7A93">
      <w:pPr>
        <w:spacing w:before="0" w:after="0" w:line="240" w:lineRule="auto"/>
        <w:rPr>
          <w:rFonts w:ascii="Arial" w:eastAsia="Times New Roman" w:hAnsi="Arial" w:cs="Arial"/>
          <w:sz w:val="22"/>
          <w:lang w:val="sr-Latn-CS"/>
        </w:rPr>
      </w:pPr>
    </w:p>
    <w:p w:rsidR="00AF7A93" w:rsidRDefault="00AF7A93" w:rsidP="00AF7A93">
      <w:pPr>
        <w:spacing w:before="0" w:after="0"/>
        <w:rPr>
          <w:rFonts w:ascii="Arial" w:hAnsi="Arial" w:cs="Arial"/>
          <w:sz w:val="22"/>
          <w:lang w:val="sr-Latn-CS"/>
        </w:rPr>
      </w:pPr>
    </w:p>
    <w:p w:rsidR="00AF7A93" w:rsidRDefault="00AF7A93" w:rsidP="00AF7A93">
      <w:pPr>
        <w:tabs>
          <w:tab w:val="left" w:pos="6015"/>
        </w:tabs>
        <w:spacing w:before="0" w:after="0" w:line="256" w:lineRule="auto"/>
        <w:jc w:val="left"/>
        <w:rPr>
          <w:rFonts w:ascii="Arial" w:hAnsi="Arial" w:cs="Arial"/>
          <w:bCs/>
          <w:sz w:val="22"/>
          <w:lang w:val="sr-Latn-CS"/>
        </w:rPr>
      </w:pPr>
      <w:r>
        <w:rPr>
          <w:rFonts w:ascii="Arial" w:hAnsi="Arial" w:cs="Arial"/>
          <w:bCs/>
          <w:sz w:val="22"/>
          <w:lang w:val="sr-Latn-CS"/>
        </w:rPr>
        <w:t xml:space="preserve">Rukovoditeljka Odjeljenja </w:t>
      </w:r>
      <w:r>
        <w:rPr>
          <w:rFonts w:ascii="Arial" w:hAnsi="Arial" w:cs="Arial"/>
          <w:bCs/>
          <w:sz w:val="22"/>
          <w:lang w:val="sr-Latn-CS"/>
        </w:rPr>
        <w:tab/>
        <w:t xml:space="preserve">       v.d.  </w:t>
      </w:r>
      <w:r>
        <w:rPr>
          <w:rFonts w:ascii="Arial" w:hAnsi="Arial" w:cs="Arial"/>
          <w:sz w:val="22"/>
          <w:lang w:val="sr-Latn-CS"/>
        </w:rPr>
        <w:t>Sekretar Sekretarijata</w:t>
      </w:r>
    </w:p>
    <w:p w:rsidR="00AF7A93" w:rsidRDefault="00AF7A93" w:rsidP="00AF7A93">
      <w:pPr>
        <w:tabs>
          <w:tab w:val="left" w:pos="6015"/>
        </w:tabs>
        <w:spacing w:before="0" w:after="0" w:line="256" w:lineRule="auto"/>
        <w:jc w:val="left"/>
        <w:rPr>
          <w:rFonts w:ascii="Arial" w:hAnsi="Arial" w:cs="Arial"/>
          <w:bCs/>
          <w:sz w:val="22"/>
          <w:lang w:val="sr-Latn-CS"/>
        </w:rPr>
      </w:pPr>
      <w:r>
        <w:rPr>
          <w:rFonts w:ascii="Arial" w:hAnsi="Arial" w:cs="Arial"/>
          <w:bCs/>
          <w:sz w:val="22"/>
          <w:lang w:val="sr-Latn-CS"/>
        </w:rPr>
        <w:t>Biljana Krivokapić, dipl.ing.tehn.</w:t>
      </w:r>
      <w:r>
        <w:rPr>
          <w:rFonts w:ascii="Arial" w:hAnsi="Arial" w:cs="Arial"/>
          <w:bCs/>
          <w:sz w:val="22"/>
          <w:lang w:val="sr-Latn-CS"/>
        </w:rPr>
        <w:tab/>
        <w:t xml:space="preserve">               Marko Petričević</w:t>
      </w:r>
    </w:p>
    <w:p w:rsidR="00AF7A93" w:rsidRDefault="00AF7A93" w:rsidP="00AF7A93">
      <w:pPr>
        <w:tabs>
          <w:tab w:val="left" w:pos="6015"/>
        </w:tabs>
        <w:spacing w:before="0" w:after="0" w:line="256" w:lineRule="auto"/>
        <w:jc w:val="left"/>
        <w:rPr>
          <w:rFonts w:ascii="Arial" w:hAnsi="Arial" w:cs="Arial"/>
          <w:bCs/>
          <w:sz w:val="22"/>
          <w:lang w:val="sr-Latn-CS"/>
        </w:rPr>
      </w:pPr>
    </w:p>
    <w:p w:rsidR="00AF7A93" w:rsidRDefault="00AF7A93" w:rsidP="00AF7A93">
      <w:pPr>
        <w:spacing w:before="0" w:after="0"/>
        <w:rPr>
          <w:rFonts w:ascii="Arial" w:hAnsi="Arial" w:cs="Arial"/>
          <w:sz w:val="22"/>
          <w:lang w:val="sr-Latn-CS"/>
        </w:rPr>
      </w:pPr>
    </w:p>
    <w:p w:rsidR="00AF7A93" w:rsidRDefault="00AF7A93" w:rsidP="00AF7A93">
      <w:pPr>
        <w:spacing w:before="0" w:after="0" w:line="256" w:lineRule="auto"/>
        <w:jc w:val="left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bCs/>
          <w:sz w:val="22"/>
          <w:lang w:val="sr-Latn-CS"/>
        </w:rPr>
        <w:t xml:space="preserve">Samostalni savjetnik II </w:t>
      </w:r>
      <w:r>
        <w:rPr>
          <w:rFonts w:ascii="Arial" w:hAnsi="Arial" w:cs="Arial"/>
          <w:bCs/>
          <w:sz w:val="22"/>
          <w:lang w:val="sr-Latn-CS"/>
        </w:rPr>
        <w:tab/>
      </w:r>
      <w:r>
        <w:rPr>
          <w:rFonts w:ascii="Arial" w:hAnsi="Arial" w:cs="Arial"/>
          <w:sz w:val="22"/>
          <w:lang w:val="sr-Latn-CS"/>
        </w:rPr>
        <w:t xml:space="preserve">                                                                </w:t>
      </w:r>
    </w:p>
    <w:p w:rsidR="00AF7A93" w:rsidRDefault="00AF7A93" w:rsidP="00AF7A93">
      <w:pPr>
        <w:spacing w:before="0" w:after="0"/>
        <w:rPr>
          <w:rFonts w:ascii="Arial" w:hAnsi="Arial" w:cs="Arial"/>
          <w:bCs/>
          <w:sz w:val="22"/>
          <w:lang w:val="sr-Latn-CS"/>
        </w:rPr>
      </w:pPr>
      <w:r>
        <w:rPr>
          <w:rFonts w:ascii="Arial" w:hAnsi="Arial" w:cs="Arial"/>
          <w:bCs/>
          <w:sz w:val="22"/>
          <w:lang w:val="sr-Latn-CS"/>
        </w:rPr>
        <w:t xml:space="preserve">za poslove zaštite životne sredine                                                           </w:t>
      </w:r>
    </w:p>
    <w:p w:rsidR="00AF7A93" w:rsidRDefault="00AF7A93" w:rsidP="00AF7A93">
      <w:pPr>
        <w:spacing w:before="0" w:after="0"/>
        <w:rPr>
          <w:rFonts w:ascii="Arial" w:hAnsi="Arial" w:cs="Arial"/>
          <w:sz w:val="22"/>
          <w:highlight w:val="yellow"/>
          <w:lang w:val="sr-Latn-CS"/>
        </w:rPr>
      </w:pPr>
      <w:r>
        <w:rPr>
          <w:rFonts w:ascii="Arial" w:hAnsi="Arial" w:cs="Arial"/>
          <w:sz w:val="22"/>
        </w:rPr>
        <w:t>Igor Mamula, dipl.ing.polj.</w:t>
      </w:r>
    </w:p>
    <w:p w:rsidR="00AF7A93" w:rsidRDefault="00AF7A93" w:rsidP="00AF7A93">
      <w:pPr>
        <w:spacing w:before="0" w:after="0"/>
        <w:rPr>
          <w:rFonts w:ascii="Arial" w:hAnsi="Arial" w:cs="Arial"/>
          <w:sz w:val="22"/>
          <w:lang w:val="sr-Latn-CS"/>
        </w:rPr>
      </w:pPr>
    </w:p>
    <w:p w:rsidR="00AF7A93" w:rsidRDefault="00AF7A93" w:rsidP="00AF7A93">
      <w:pPr>
        <w:spacing w:before="0" w:after="0"/>
        <w:rPr>
          <w:rFonts w:ascii="Arial" w:hAnsi="Arial" w:cs="Arial"/>
          <w:sz w:val="22"/>
          <w:lang w:val="sr-Latn-CS"/>
        </w:rPr>
      </w:pPr>
    </w:p>
    <w:p w:rsidR="00AF7A93" w:rsidRDefault="00AF7A93" w:rsidP="00AF7A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65"/>
          <w:tab w:val="left" w:pos="6255"/>
        </w:tabs>
        <w:spacing w:before="0" w:after="0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b/>
          <w:bCs/>
          <w:sz w:val="22"/>
          <w:lang w:val="sr-Latn-CS"/>
        </w:rPr>
        <w:t xml:space="preserve"> </w:t>
      </w:r>
    </w:p>
    <w:p w:rsidR="00AF7A93" w:rsidRDefault="00AF7A93" w:rsidP="00AF7A93">
      <w:pPr>
        <w:spacing w:before="0" w:after="0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Dostavljeno:</w:t>
      </w:r>
    </w:p>
    <w:p w:rsidR="00AF7A93" w:rsidRDefault="00AF7A93" w:rsidP="00AF7A93">
      <w:pPr>
        <w:spacing w:before="0" w:after="0" w:line="240" w:lineRule="auto"/>
        <w:rPr>
          <w:rFonts w:ascii="Arial" w:eastAsia="Times New Roman" w:hAnsi="Arial" w:cs="Arial"/>
          <w:sz w:val="22"/>
          <w:lang w:val="en-US"/>
        </w:rPr>
      </w:pPr>
      <w:r>
        <w:rPr>
          <w:rFonts w:ascii="Arial" w:eastAsia="Times New Roman" w:hAnsi="Arial" w:cs="Arial"/>
          <w:sz w:val="22"/>
          <w:lang w:val="en-US"/>
        </w:rPr>
        <w:t xml:space="preserve">- </w:t>
      </w:r>
      <w:r w:rsidR="00A736B5">
        <w:rPr>
          <w:rFonts w:ascii="Arial" w:eastAsia="Calibri" w:hAnsi="Arial" w:cs="Arial"/>
          <w:sz w:val="22"/>
          <w:lang w:val="sr-Latn-CS"/>
        </w:rPr>
        <w:t xml:space="preserve">Centralna </w:t>
      </w:r>
      <w:proofErr w:type="gramStart"/>
      <w:r w:rsidR="00A736B5">
        <w:rPr>
          <w:rFonts w:ascii="Arial" w:eastAsia="Calibri" w:hAnsi="Arial" w:cs="Arial"/>
          <w:sz w:val="22"/>
          <w:lang w:val="sr-Latn-CS"/>
        </w:rPr>
        <w:t>banka</w:t>
      </w:r>
      <w:proofErr w:type="gramEnd"/>
      <w:r w:rsidR="00A736B5">
        <w:rPr>
          <w:rFonts w:ascii="Arial" w:eastAsia="Calibri" w:hAnsi="Arial" w:cs="Arial"/>
          <w:sz w:val="22"/>
          <w:lang w:val="sr-Latn-CS"/>
        </w:rPr>
        <w:t xml:space="preserve"> Crne Gore</w:t>
      </w:r>
      <w:r w:rsidR="00A736B5" w:rsidRPr="007E56A5">
        <w:rPr>
          <w:rFonts w:ascii="Arial" w:eastAsia="Calibri" w:hAnsi="Arial" w:cs="Arial"/>
          <w:sz w:val="22"/>
          <w:lang w:val="sr-Latn-CS"/>
        </w:rPr>
        <w:t>, Bulevar Sv.Petra Cetinjskog br.6</w:t>
      </w:r>
      <w:r w:rsidR="00A736B5">
        <w:rPr>
          <w:rFonts w:ascii="Arial" w:eastAsia="Times New Roman" w:hAnsi="Arial" w:cs="Arial"/>
          <w:sz w:val="22"/>
          <w:lang w:val="sr-Latn-CS"/>
        </w:rPr>
        <w:t>,</w:t>
      </w:r>
      <w:r w:rsidR="00A736B5" w:rsidRPr="00A736B5">
        <w:rPr>
          <w:rFonts w:ascii="Arial" w:eastAsia="Calibri" w:hAnsi="Arial" w:cs="Arial"/>
          <w:sz w:val="22"/>
          <w:lang w:val="sr-Latn-CS"/>
        </w:rPr>
        <w:t xml:space="preserve"> </w:t>
      </w:r>
      <w:r w:rsidR="00A736B5">
        <w:rPr>
          <w:rFonts w:ascii="Arial" w:eastAsia="Calibri" w:hAnsi="Arial" w:cs="Arial"/>
          <w:sz w:val="22"/>
          <w:lang w:val="sr-Latn-CS"/>
        </w:rPr>
        <w:t>Podgorica</w:t>
      </w:r>
      <w:r>
        <w:rPr>
          <w:rFonts w:ascii="Arial" w:eastAsia="Times New Roman" w:hAnsi="Arial" w:cs="Arial"/>
          <w:sz w:val="22"/>
          <w:lang w:val="sr-Latn-CS"/>
        </w:rPr>
        <w:t>, x 2</w:t>
      </w:r>
    </w:p>
    <w:p w:rsidR="00AF7A93" w:rsidRDefault="00AF7A93" w:rsidP="00AF7A93">
      <w:pPr>
        <w:tabs>
          <w:tab w:val="left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ascii="Arial" w:eastAsia="Times New Roman" w:hAnsi="Arial" w:cs="Arial"/>
          <w:sz w:val="22"/>
          <w:lang w:val="sr-Latn-CS"/>
        </w:rPr>
      </w:pPr>
      <w:r>
        <w:rPr>
          <w:rFonts w:ascii="Arial" w:eastAsia="Times New Roman" w:hAnsi="Arial" w:cs="Arial"/>
          <w:sz w:val="22"/>
          <w:lang w:val="sr-Latn-CS"/>
        </w:rPr>
        <w:t>- Ekološka inspekcija, Oktobarske revolucije br. 130, Podgorica</w:t>
      </w:r>
    </w:p>
    <w:p w:rsidR="00AF7A93" w:rsidRDefault="00AF7A93" w:rsidP="00AF7A93">
      <w:pPr>
        <w:tabs>
          <w:tab w:val="left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ascii="Arial" w:eastAsia="Times New Roman" w:hAnsi="Arial" w:cs="Arial"/>
          <w:sz w:val="22"/>
          <w:lang w:val="sr-Latn-CS"/>
        </w:rPr>
      </w:pPr>
      <w:r>
        <w:rPr>
          <w:rFonts w:ascii="Arial" w:eastAsia="Times New Roman" w:hAnsi="Arial" w:cs="Arial"/>
          <w:sz w:val="22"/>
          <w:lang w:val="sr-Latn-CS"/>
        </w:rPr>
        <w:t>- a/a</w:t>
      </w:r>
    </w:p>
    <w:p w:rsidR="00AF7A93" w:rsidRDefault="00AF7A93" w:rsidP="00AF7A93">
      <w:pPr>
        <w:tabs>
          <w:tab w:val="left" w:pos="567"/>
        </w:tabs>
        <w:spacing w:before="0" w:after="0" w:line="256" w:lineRule="auto"/>
        <w:ind w:firstLine="567"/>
        <w:rPr>
          <w:rFonts w:ascii="Arial" w:eastAsia="Times New Roman" w:hAnsi="Arial" w:cs="Arial"/>
          <w:sz w:val="22"/>
          <w:lang w:val="sr-Latn-CS"/>
        </w:rPr>
      </w:pPr>
    </w:p>
    <w:p w:rsidR="00AF7A93" w:rsidRDefault="00AF7A93" w:rsidP="00AF7A93">
      <w:pPr>
        <w:spacing w:before="0" w:after="0"/>
        <w:rPr>
          <w:rFonts w:ascii="Arial" w:hAnsi="Arial" w:cs="Arial"/>
          <w:sz w:val="22"/>
        </w:rPr>
      </w:pPr>
    </w:p>
    <w:p w:rsidR="00B21326" w:rsidRPr="00BA72C8" w:rsidRDefault="00B21326" w:rsidP="00FA7BE9">
      <w:pPr>
        <w:spacing w:before="0" w:after="0"/>
        <w:rPr>
          <w:rFonts w:ascii="Arial" w:hAnsi="Arial" w:cs="Arial"/>
          <w:sz w:val="22"/>
          <w:lang w:val="sr-Latn-CS"/>
        </w:rPr>
      </w:pPr>
    </w:p>
    <w:p w:rsidR="00C176EB" w:rsidRPr="00097BDD" w:rsidRDefault="00C176EB" w:rsidP="00FA7BE9">
      <w:pPr>
        <w:spacing w:before="0" w:after="0"/>
        <w:rPr>
          <w:rFonts w:ascii="Arial" w:hAnsi="Arial" w:cs="Arial"/>
          <w:sz w:val="22"/>
        </w:rPr>
      </w:pPr>
    </w:p>
    <w:sectPr w:rsidR="00C176EB" w:rsidRPr="00097BDD" w:rsidSect="00482C5E">
      <w:headerReference w:type="default" r:id="rId10"/>
      <w:headerReference w:type="first" r:id="rId11"/>
      <w:pgSz w:w="11906" w:h="16838" w:code="9"/>
      <w:pgMar w:top="2238" w:right="1418" w:bottom="426" w:left="1418" w:header="714" w:footer="5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DE3" w:rsidRDefault="00AF1DE3" w:rsidP="00A6505B">
      <w:pPr>
        <w:spacing w:before="0" w:after="0" w:line="240" w:lineRule="auto"/>
      </w:pPr>
      <w:r>
        <w:separator/>
      </w:r>
    </w:p>
  </w:endnote>
  <w:endnote w:type="continuationSeparator" w:id="0">
    <w:p w:rsidR="00AF1DE3" w:rsidRDefault="00AF1DE3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DE3" w:rsidRDefault="00AF1DE3" w:rsidP="00A6505B">
      <w:pPr>
        <w:spacing w:before="0" w:after="0" w:line="240" w:lineRule="auto"/>
      </w:pPr>
      <w:r>
        <w:separator/>
      </w:r>
    </w:p>
  </w:footnote>
  <w:footnote w:type="continuationSeparator" w:id="0">
    <w:p w:rsidR="00AF1DE3" w:rsidRDefault="00AF1DE3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3F6" w:rsidRPr="00451F6C" w:rsidRDefault="00FA7BE9" w:rsidP="0030189B">
    <w:pPr>
      <w:pStyle w:val="Title"/>
      <w:ind w:left="425" w:firstLine="709"/>
      <w:rPr>
        <w:rFonts w:eastAsiaTheme="majorEastAsia" w:cstheme="majorBidi"/>
      </w:rPr>
    </w:pPr>
    <w:r>
      <w:rPr>
        <w:lang w:val="en-GB"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C9E8D26" wp14:editId="5999A34D">
              <wp:simplePos x="0" y="0"/>
              <wp:positionH relativeFrom="column">
                <wp:posOffset>471170</wp:posOffset>
              </wp:positionH>
              <wp:positionV relativeFrom="paragraph">
                <wp:posOffset>-63500</wp:posOffset>
              </wp:positionV>
              <wp:extent cx="3733800" cy="103822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1038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189B" w:rsidRPr="001527E1" w:rsidRDefault="0030189B" w:rsidP="001527E1">
                          <w:pPr>
                            <w:spacing w:before="0" w:after="0"/>
                            <w:rPr>
                              <w:rFonts w:ascii="Arial" w:hAnsi="Arial" w:cs="Arial"/>
                              <w:sz w:val="22"/>
                            </w:rPr>
                          </w:pPr>
                          <w:r w:rsidRPr="001527E1">
                            <w:rPr>
                              <w:rFonts w:ascii="Arial" w:hAnsi="Arial" w:cs="Arial"/>
                              <w:sz w:val="22"/>
                            </w:rPr>
                            <w:t xml:space="preserve">Crna </w:t>
                          </w:r>
                          <w:r w:rsidR="001527E1" w:rsidRPr="001527E1">
                            <w:rPr>
                              <w:rFonts w:ascii="Arial" w:hAnsi="Arial" w:cs="Arial"/>
                              <w:sz w:val="22"/>
                            </w:rPr>
                            <w:t>Gora</w:t>
                          </w:r>
                        </w:p>
                        <w:p w:rsidR="0030189B" w:rsidRPr="001527E1" w:rsidRDefault="001527E1" w:rsidP="001527E1">
                          <w:pPr>
                            <w:spacing w:before="0" w:after="0"/>
                            <w:rPr>
                              <w:rFonts w:ascii="Arial" w:hAnsi="Arial" w:cs="Arial"/>
                              <w:sz w:val="22"/>
                            </w:rPr>
                          </w:pPr>
                          <w:r w:rsidRPr="001527E1">
                            <w:rPr>
                              <w:rFonts w:ascii="Arial" w:hAnsi="Arial" w:cs="Arial"/>
                              <w:sz w:val="22"/>
                            </w:rPr>
                            <w:t>Opštin</w:t>
                          </w:r>
                          <w:r w:rsidR="0030189B" w:rsidRPr="001527E1">
                            <w:rPr>
                              <w:rFonts w:ascii="Arial" w:hAnsi="Arial" w:cs="Arial"/>
                              <w:sz w:val="22"/>
                            </w:rPr>
                            <w:t>a Tivat</w:t>
                          </w:r>
                        </w:p>
                        <w:p w:rsidR="00732CDD" w:rsidRDefault="00732CDD" w:rsidP="001527E1">
                          <w:pPr>
                            <w:spacing w:before="0" w:after="0"/>
                            <w:rPr>
                              <w:rFonts w:ascii="Arial" w:hAnsi="Arial" w:cs="Arial"/>
                              <w:sz w:val="22"/>
                            </w:rPr>
                          </w:pPr>
                          <w:r>
                            <w:rPr>
                              <w:rFonts w:ascii="Arial" w:hAnsi="Arial" w:cs="Arial"/>
                              <w:sz w:val="22"/>
                            </w:rPr>
                            <w:t>Sekret</w:t>
                          </w:r>
                          <w:r w:rsidR="00D46E26">
                            <w:rPr>
                              <w:rFonts w:ascii="Arial" w:hAnsi="Arial" w:cs="Arial"/>
                              <w:sz w:val="22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z w:val="22"/>
                            </w:rPr>
                            <w:t xml:space="preserve">rijat za investicije, uređenje prostora </w:t>
                          </w:r>
                        </w:p>
                        <w:p w:rsidR="0030189B" w:rsidRDefault="00732CDD" w:rsidP="001527E1">
                          <w:pPr>
                            <w:spacing w:before="0" w:after="0"/>
                            <w:rPr>
                              <w:rFonts w:ascii="Arial" w:hAnsi="Arial" w:cs="Arial"/>
                              <w:sz w:val="22"/>
                            </w:rPr>
                          </w:pPr>
                          <w:r>
                            <w:rPr>
                              <w:rFonts w:ascii="Arial" w:hAnsi="Arial" w:cs="Arial"/>
                              <w:sz w:val="22"/>
                            </w:rPr>
                            <w:t>i održivi razvoj</w:t>
                          </w:r>
                        </w:p>
                        <w:p w:rsidR="00FA7BE9" w:rsidRPr="001527E1" w:rsidRDefault="00FA7BE9" w:rsidP="001527E1">
                          <w:pPr>
                            <w:spacing w:before="0" w:after="0"/>
                            <w:rPr>
                              <w:sz w:val="22"/>
                            </w:rPr>
                          </w:pPr>
                          <w:r>
                            <w:rPr>
                              <w:rFonts w:ascii="Arial" w:hAnsi="Arial" w:cs="Arial"/>
                              <w:sz w:val="22"/>
                            </w:rPr>
                            <w:t>Odjeljenje za zaštitu životne sredine</w:t>
                          </w:r>
                        </w:p>
                        <w:p w:rsidR="0030189B" w:rsidRPr="0030189B" w:rsidRDefault="0030189B" w:rsidP="0030189B">
                          <w:pPr>
                            <w:spacing w:before="0" w:after="0"/>
                            <w:rPr>
                              <w:sz w:val="22"/>
                              <w:szCs w:val="20"/>
                            </w:rPr>
                          </w:pPr>
                        </w:p>
                        <w:p w:rsidR="0030189B" w:rsidRDefault="0030189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7.1pt;margin-top:-5pt;width:294pt;height:8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" filled="f" stroked="f">
              <v:textbox>
                <w:txbxContent>
                  <w:p w:rsidR="0030189B" w:rsidRPr="001527E1" w:rsidRDefault="0030189B" w:rsidP="001527E1">
                    <w:pPr>
                      <w:spacing w:before="0" w:after="0"/>
                      <w:rPr>
                        <w:rFonts w:ascii="Arial" w:hAnsi="Arial" w:cs="Arial"/>
                        <w:sz w:val="22"/>
                      </w:rPr>
                    </w:pPr>
                    <w:r w:rsidRPr="001527E1">
                      <w:rPr>
                        <w:rFonts w:ascii="Arial" w:hAnsi="Arial" w:cs="Arial"/>
                        <w:sz w:val="22"/>
                      </w:rPr>
                      <w:t xml:space="preserve">Crna </w:t>
                    </w:r>
                    <w:r w:rsidR="001527E1" w:rsidRPr="001527E1">
                      <w:rPr>
                        <w:rFonts w:ascii="Arial" w:hAnsi="Arial" w:cs="Arial"/>
                        <w:sz w:val="22"/>
                      </w:rPr>
                      <w:t>Gora</w:t>
                    </w:r>
                  </w:p>
                  <w:p w:rsidR="0030189B" w:rsidRPr="001527E1" w:rsidRDefault="001527E1" w:rsidP="001527E1">
                    <w:pPr>
                      <w:spacing w:before="0" w:after="0"/>
                      <w:rPr>
                        <w:rFonts w:ascii="Arial" w:hAnsi="Arial" w:cs="Arial"/>
                        <w:sz w:val="22"/>
                      </w:rPr>
                    </w:pPr>
                    <w:r w:rsidRPr="001527E1">
                      <w:rPr>
                        <w:rFonts w:ascii="Arial" w:hAnsi="Arial" w:cs="Arial"/>
                        <w:sz w:val="22"/>
                      </w:rPr>
                      <w:t>Opštin</w:t>
                    </w:r>
                    <w:r w:rsidR="0030189B" w:rsidRPr="001527E1">
                      <w:rPr>
                        <w:rFonts w:ascii="Arial" w:hAnsi="Arial" w:cs="Arial"/>
                        <w:sz w:val="22"/>
                      </w:rPr>
                      <w:t>a Tivat</w:t>
                    </w:r>
                  </w:p>
                  <w:p w:rsidR="00732CDD" w:rsidRDefault="00732CDD" w:rsidP="001527E1">
                    <w:pPr>
                      <w:spacing w:before="0" w:after="0"/>
                      <w:rPr>
                        <w:rFonts w:ascii="Arial" w:hAnsi="Arial" w:cs="Arial"/>
                        <w:sz w:val="22"/>
                      </w:rPr>
                    </w:pPr>
                    <w:r>
                      <w:rPr>
                        <w:rFonts w:ascii="Arial" w:hAnsi="Arial" w:cs="Arial"/>
                        <w:sz w:val="22"/>
                      </w:rPr>
                      <w:t>Sekret</w:t>
                    </w:r>
                    <w:r w:rsidR="00D46E26">
                      <w:rPr>
                        <w:rFonts w:ascii="Arial" w:hAnsi="Arial" w:cs="Arial"/>
                        <w:sz w:val="22"/>
                      </w:rPr>
                      <w:t>a</w:t>
                    </w:r>
                    <w:r>
                      <w:rPr>
                        <w:rFonts w:ascii="Arial" w:hAnsi="Arial" w:cs="Arial"/>
                        <w:sz w:val="22"/>
                      </w:rPr>
                      <w:t xml:space="preserve">rijat za investicije, uređenje prostora </w:t>
                    </w:r>
                  </w:p>
                  <w:p w:rsidR="0030189B" w:rsidRDefault="00732CDD" w:rsidP="001527E1">
                    <w:pPr>
                      <w:spacing w:before="0" w:after="0"/>
                      <w:rPr>
                        <w:rFonts w:ascii="Arial" w:hAnsi="Arial" w:cs="Arial"/>
                        <w:sz w:val="22"/>
                      </w:rPr>
                    </w:pPr>
                    <w:r>
                      <w:rPr>
                        <w:rFonts w:ascii="Arial" w:hAnsi="Arial" w:cs="Arial"/>
                        <w:sz w:val="22"/>
                      </w:rPr>
                      <w:t>i održivi razvoj</w:t>
                    </w:r>
                  </w:p>
                  <w:p w:rsidR="00FA7BE9" w:rsidRPr="001527E1" w:rsidRDefault="00FA7BE9" w:rsidP="001527E1">
                    <w:pPr>
                      <w:spacing w:before="0" w:after="0"/>
                      <w:rPr>
                        <w:sz w:val="22"/>
                      </w:rPr>
                    </w:pPr>
                    <w:r>
                      <w:rPr>
                        <w:rFonts w:ascii="Arial" w:hAnsi="Arial" w:cs="Arial"/>
                        <w:sz w:val="22"/>
                      </w:rPr>
                      <w:t>Odjeljenje za zaštitu životne sredine</w:t>
                    </w:r>
                  </w:p>
                  <w:p w:rsidR="0030189B" w:rsidRPr="0030189B" w:rsidRDefault="0030189B" w:rsidP="0030189B">
                    <w:pPr>
                      <w:spacing w:before="0" w:after="0"/>
                      <w:rPr>
                        <w:sz w:val="22"/>
                        <w:szCs w:val="20"/>
                      </w:rPr>
                    </w:pPr>
                  </w:p>
                  <w:p w:rsidR="0030189B" w:rsidRDefault="0030189B"/>
                </w:txbxContent>
              </v:textbox>
            </v:shape>
          </w:pict>
        </mc:Fallback>
      </mc:AlternateContent>
    </w:r>
    <w:r w:rsidR="001527E1">
      <w:rPr>
        <w:strike/>
        <w:lang w:val="en-GB"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AE67836" wp14:editId="269E93F3">
              <wp:simplePos x="0" y="0"/>
              <wp:positionH relativeFrom="column">
                <wp:posOffset>3557270</wp:posOffset>
              </wp:positionH>
              <wp:positionV relativeFrom="paragraph">
                <wp:posOffset>-62865</wp:posOffset>
              </wp:positionV>
              <wp:extent cx="2302510" cy="1038225"/>
              <wp:effectExtent l="0" t="0" r="1270" b="952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2510" cy="1038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3EE" w:rsidRPr="0023006F" w:rsidRDefault="00B003EE" w:rsidP="0023006F">
                          <w:pPr>
                            <w:spacing w:before="0"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Adresa: </w:t>
                          </w:r>
                          <w:r w:rsidR="009746C5"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Trg magnolija </w:t>
                          </w:r>
                          <w:r w:rsidR="001527E1" w:rsidRPr="0023006F">
                            <w:rPr>
                              <w:rFonts w:ascii="Arial" w:hAnsi="Arial" w:cs="Arial"/>
                              <w:sz w:val="18"/>
                            </w:rPr>
                            <w:t>br.</w:t>
                          </w:r>
                          <w:r w:rsidR="009746C5" w:rsidRPr="0023006F">
                            <w:rPr>
                              <w:rFonts w:ascii="Arial" w:hAnsi="Arial" w:cs="Arial"/>
                              <w:sz w:val="18"/>
                            </w:rPr>
                            <w:t>1</w:t>
                          </w:r>
                          <w:r w:rsidR="005E2CF3"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   </w:t>
                          </w:r>
                        </w:p>
                        <w:p w:rsidR="00B003EE" w:rsidRPr="0023006F" w:rsidRDefault="009746C5" w:rsidP="0023006F">
                          <w:pPr>
                            <w:spacing w:before="0"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23006F">
                            <w:rPr>
                              <w:rFonts w:ascii="Arial" w:hAnsi="Arial" w:cs="Arial"/>
                              <w:sz w:val="18"/>
                            </w:rPr>
                            <w:t>Tivat</w:t>
                          </w:r>
                          <w:r w:rsidR="00B003EE" w:rsidRPr="0023006F">
                            <w:rPr>
                              <w:rFonts w:ascii="Arial" w:hAnsi="Arial" w:cs="Arial"/>
                              <w:sz w:val="18"/>
                            </w:rPr>
                            <w:t>, Crna Gora</w:t>
                          </w:r>
                        </w:p>
                        <w:p w:rsidR="00B003EE" w:rsidRPr="0023006F" w:rsidRDefault="00B003EE" w:rsidP="0023006F">
                          <w:pPr>
                            <w:spacing w:before="0"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23006F">
                            <w:rPr>
                              <w:rFonts w:ascii="Arial" w:hAnsi="Arial" w:cs="Arial"/>
                              <w:sz w:val="18"/>
                            </w:rPr>
                            <w:t>tel: +382</w:t>
                          </w:r>
                          <w:r w:rsidR="001527E1"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 (0)</w:t>
                          </w:r>
                          <w:r w:rsidR="009746C5" w:rsidRPr="0023006F">
                            <w:rPr>
                              <w:rFonts w:ascii="Arial" w:hAnsi="Arial" w:cs="Arial"/>
                              <w:sz w:val="18"/>
                            </w:rPr>
                            <w:t>32</w:t>
                          </w:r>
                          <w:r w:rsidR="001527E1"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 </w:t>
                          </w:r>
                          <w:r w:rsidR="00DB0CB3">
                            <w:rPr>
                              <w:rFonts w:ascii="Arial" w:hAnsi="Arial" w:cs="Arial"/>
                              <w:sz w:val="18"/>
                            </w:rPr>
                            <w:t>66131</w:t>
                          </w:r>
                          <w:r w:rsidR="009746C5" w:rsidRPr="0023006F">
                            <w:rPr>
                              <w:rFonts w:ascii="Arial" w:hAnsi="Arial" w:cs="Arial"/>
                              <w:sz w:val="18"/>
                            </w:rPr>
                            <w:t>4</w:t>
                          </w:r>
                        </w:p>
                        <w:p w:rsidR="009746C5" w:rsidRPr="0023006F" w:rsidRDefault="00AF1DE3" w:rsidP="0023006F">
                          <w:pPr>
                            <w:spacing w:before="0"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hyperlink r:id="rId1" w:history="1">
                            <w:r w:rsidR="009746C5" w:rsidRPr="0023006F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www.opstinativat.me</w:t>
                            </w:r>
                          </w:hyperlink>
                        </w:p>
                        <w:p w:rsidR="00BA72C8" w:rsidRDefault="00AF1DE3" w:rsidP="0023006F">
                          <w:pPr>
                            <w:spacing w:before="0"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hyperlink r:id="rId2" w:history="1">
                            <w:r w:rsidR="00BA72C8" w:rsidRPr="008D3664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urbain@opstinativat.me</w:t>
                            </w:r>
                          </w:hyperlink>
                        </w:p>
                        <w:p w:rsidR="00B167AC" w:rsidRPr="0023006F" w:rsidRDefault="009746C5" w:rsidP="0023006F">
                          <w:pPr>
                            <w:spacing w:before="0" w:after="0"/>
                            <w:jc w:val="right"/>
                          </w:pPr>
                          <w:r w:rsidRPr="0023006F">
                            <w:t xml:space="preserve"> </w:t>
                          </w:r>
                        </w:p>
                        <w:p w:rsidR="00B003EE" w:rsidRPr="001527E1" w:rsidRDefault="00B003EE" w:rsidP="00B003EE">
                          <w:pPr>
                            <w:spacing w:line="240" w:lineRule="auto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left:0;text-align:left;margin-left:280.1pt;margin-top:-4.95pt;width:181.3pt;height:81.7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" stroked="f">
              <v:textbox>
                <w:txbxContent>
                  <w:p w:rsidR="00B003EE" w:rsidRPr="0023006F" w:rsidRDefault="00B003EE" w:rsidP="0023006F">
                    <w:pPr>
                      <w:spacing w:before="0"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23006F">
                      <w:rPr>
                        <w:rFonts w:ascii="Arial" w:hAnsi="Arial" w:cs="Arial"/>
                        <w:sz w:val="18"/>
                      </w:rPr>
                      <w:t xml:space="preserve">Adresa: </w:t>
                    </w:r>
                    <w:r w:rsidR="009746C5" w:rsidRPr="0023006F">
                      <w:rPr>
                        <w:rFonts w:ascii="Arial" w:hAnsi="Arial" w:cs="Arial"/>
                        <w:sz w:val="18"/>
                      </w:rPr>
                      <w:t xml:space="preserve">Trg magnolija </w:t>
                    </w:r>
                    <w:r w:rsidR="001527E1" w:rsidRPr="0023006F">
                      <w:rPr>
                        <w:rFonts w:ascii="Arial" w:hAnsi="Arial" w:cs="Arial"/>
                        <w:sz w:val="18"/>
                      </w:rPr>
                      <w:t>br.</w:t>
                    </w:r>
                    <w:r w:rsidR="009746C5" w:rsidRPr="0023006F">
                      <w:rPr>
                        <w:rFonts w:ascii="Arial" w:hAnsi="Arial" w:cs="Arial"/>
                        <w:sz w:val="18"/>
                      </w:rPr>
                      <w:t>1</w:t>
                    </w:r>
                    <w:r w:rsidR="005E2CF3" w:rsidRPr="0023006F">
                      <w:rPr>
                        <w:rFonts w:ascii="Arial" w:hAnsi="Arial" w:cs="Arial"/>
                        <w:sz w:val="18"/>
                      </w:rPr>
                      <w:t xml:space="preserve">   </w:t>
                    </w:r>
                  </w:p>
                  <w:p w:rsidR="00B003EE" w:rsidRPr="0023006F" w:rsidRDefault="009746C5" w:rsidP="0023006F">
                    <w:pPr>
                      <w:spacing w:before="0"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23006F">
                      <w:rPr>
                        <w:rFonts w:ascii="Arial" w:hAnsi="Arial" w:cs="Arial"/>
                        <w:sz w:val="18"/>
                      </w:rPr>
                      <w:t>Tivat</w:t>
                    </w:r>
                    <w:r w:rsidR="00B003EE" w:rsidRPr="0023006F">
                      <w:rPr>
                        <w:rFonts w:ascii="Arial" w:hAnsi="Arial" w:cs="Arial"/>
                        <w:sz w:val="18"/>
                      </w:rPr>
                      <w:t>, Crna Gora</w:t>
                    </w:r>
                  </w:p>
                  <w:p w:rsidR="00B003EE" w:rsidRPr="0023006F" w:rsidRDefault="00B003EE" w:rsidP="0023006F">
                    <w:pPr>
                      <w:spacing w:before="0"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23006F">
                      <w:rPr>
                        <w:rFonts w:ascii="Arial" w:hAnsi="Arial" w:cs="Arial"/>
                        <w:sz w:val="18"/>
                      </w:rPr>
                      <w:t>tel: +382</w:t>
                    </w:r>
                    <w:r w:rsidR="001527E1" w:rsidRPr="0023006F">
                      <w:rPr>
                        <w:rFonts w:ascii="Arial" w:hAnsi="Arial" w:cs="Arial"/>
                        <w:sz w:val="18"/>
                      </w:rPr>
                      <w:t xml:space="preserve"> (0)</w:t>
                    </w:r>
                    <w:r w:rsidR="009746C5" w:rsidRPr="0023006F">
                      <w:rPr>
                        <w:rFonts w:ascii="Arial" w:hAnsi="Arial" w:cs="Arial"/>
                        <w:sz w:val="18"/>
                      </w:rPr>
                      <w:t>32</w:t>
                    </w:r>
                    <w:r w:rsidR="001527E1" w:rsidRPr="0023006F">
                      <w:rPr>
                        <w:rFonts w:ascii="Arial" w:hAnsi="Arial" w:cs="Arial"/>
                        <w:sz w:val="18"/>
                      </w:rPr>
                      <w:t xml:space="preserve"> </w:t>
                    </w:r>
                    <w:r w:rsidR="00DB0CB3">
                      <w:rPr>
                        <w:rFonts w:ascii="Arial" w:hAnsi="Arial" w:cs="Arial"/>
                        <w:sz w:val="18"/>
                      </w:rPr>
                      <w:t>66131</w:t>
                    </w:r>
                    <w:r w:rsidR="009746C5" w:rsidRPr="0023006F">
                      <w:rPr>
                        <w:rFonts w:ascii="Arial" w:hAnsi="Arial" w:cs="Arial"/>
                        <w:sz w:val="18"/>
                      </w:rPr>
                      <w:t>4</w:t>
                    </w:r>
                  </w:p>
                  <w:p w:rsidR="009746C5" w:rsidRPr="0023006F" w:rsidRDefault="005E30A3" w:rsidP="0023006F">
                    <w:pPr>
                      <w:spacing w:before="0"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hyperlink r:id="rId3" w:history="1">
                      <w:r w:rsidR="009746C5" w:rsidRPr="0023006F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www.opstinativat.me</w:t>
                      </w:r>
                    </w:hyperlink>
                  </w:p>
                  <w:p w:rsidR="00BA72C8" w:rsidRDefault="005E30A3" w:rsidP="0023006F">
                    <w:pPr>
                      <w:spacing w:before="0"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hyperlink r:id="rId4" w:history="1">
                      <w:r w:rsidR="00BA72C8" w:rsidRPr="008D3664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urbain@opstinativat.me</w:t>
                      </w:r>
                    </w:hyperlink>
                  </w:p>
                  <w:p w:rsidR="00B167AC" w:rsidRPr="0023006F" w:rsidRDefault="009746C5" w:rsidP="0023006F">
                    <w:pPr>
                      <w:spacing w:before="0" w:after="0"/>
                      <w:jc w:val="right"/>
                    </w:pPr>
                    <w:r w:rsidRPr="0023006F">
                      <w:t xml:space="preserve"> </w:t>
                    </w:r>
                  </w:p>
                  <w:p w:rsidR="00B003EE" w:rsidRPr="001527E1" w:rsidRDefault="00B003EE" w:rsidP="00B003EE">
                    <w:pPr>
                      <w:spacing w:line="240" w:lineRule="auto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1527E1">
      <w:rPr>
        <w:lang w:val="en-GB" w:eastAsia="en-GB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7BF35816" wp14:editId="418742EC">
              <wp:simplePos x="0" y="0"/>
              <wp:positionH relativeFrom="column">
                <wp:posOffset>516890</wp:posOffset>
              </wp:positionH>
              <wp:positionV relativeFrom="paragraph">
                <wp:posOffset>-39370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0.7pt,-3.1pt" to="40.7pt,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" strokecolor="#d5b03d" strokeweight="1.5pt">
              <o:lock v:ext="edit" shapetype="f"/>
            </v:line>
          </w:pict>
        </mc:Fallback>
      </mc:AlternateContent>
    </w:r>
    <w:r w:rsidR="00735760" w:rsidRPr="00451F6C">
      <w:rPr>
        <w:lang w:val="en-GB" w:eastAsia="en-GB"/>
      </w:rPr>
      <w:drawing>
        <wp:anchor distT="0" distB="0" distL="114300" distR="114300" simplePos="0" relativeHeight="251660288" behindDoc="0" locked="0" layoutInCell="1" allowOverlap="1" wp14:anchorId="7D1F262E" wp14:editId="2F08B9BC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53869"/>
    <w:multiLevelType w:val="hybridMultilevel"/>
    <w:tmpl w:val="AEB6EFD2"/>
    <w:lvl w:ilvl="0" w:tplc="EC588AE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A088F"/>
    <w:multiLevelType w:val="hybridMultilevel"/>
    <w:tmpl w:val="0FA23C6A"/>
    <w:lvl w:ilvl="0" w:tplc="EC588AE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671DA5"/>
    <w:multiLevelType w:val="hybridMultilevel"/>
    <w:tmpl w:val="0B4A6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D00F88"/>
    <w:multiLevelType w:val="hybridMultilevel"/>
    <w:tmpl w:val="F002246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97B3068"/>
    <w:multiLevelType w:val="hybridMultilevel"/>
    <w:tmpl w:val="0F3E173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2529A9"/>
    <w:multiLevelType w:val="hybridMultilevel"/>
    <w:tmpl w:val="0360E1F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7F3981"/>
    <w:multiLevelType w:val="hybridMultilevel"/>
    <w:tmpl w:val="3E5CDB5E"/>
    <w:lvl w:ilvl="0" w:tplc="DB9CA682">
      <w:numFmt w:val="bullet"/>
      <w:lvlText w:val="-"/>
      <w:lvlJc w:val="left"/>
      <w:pPr>
        <w:ind w:left="339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7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4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5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8"/>
  </w:num>
  <w:num w:numId="4">
    <w:abstractNumId w:val="3"/>
  </w:num>
  <w:num w:numId="5">
    <w:abstractNumId w:val="7"/>
  </w:num>
  <w:num w:numId="6">
    <w:abstractNumId w:val="0"/>
  </w:num>
  <w:num w:numId="7">
    <w:abstractNumId w:val="1"/>
  </w:num>
  <w:num w:numId="8">
    <w:abstractNumId w:val="9"/>
  </w:num>
  <w:num w:numId="9">
    <w:abstractNumId w:val="5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062B2"/>
    <w:rsid w:val="00006D0F"/>
    <w:rsid w:val="00020673"/>
    <w:rsid w:val="0003268A"/>
    <w:rsid w:val="00033D6D"/>
    <w:rsid w:val="00053378"/>
    <w:rsid w:val="00071E3B"/>
    <w:rsid w:val="00091BF1"/>
    <w:rsid w:val="00097BDD"/>
    <w:rsid w:val="000A705E"/>
    <w:rsid w:val="000B09CA"/>
    <w:rsid w:val="000C0C77"/>
    <w:rsid w:val="000D662F"/>
    <w:rsid w:val="000E1604"/>
    <w:rsid w:val="000E5EAB"/>
    <w:rsid w:val="000F2AA0"/>
    <w:rsid w:val="000F2B95"/>
    <w:rsid w:val="000F2BFC"/>
    <w:rsid w:val="001053EE"/>
    <w:rsid w:val="0010591B"/>
    <w:rsid w:val="00107821"/>
    <w:rsid w:val="001165D4"/>
    <w:rsid w:val="001527E1"/>
    <w:rsid w:val="00154D42"/>
    <w:rsid w:val="00166391"/>
    <w:rsid w:val="001778BD"/>
    <w:rsid w:val="001822FC"/>
    <w:rsid w:val="001847FD"/>
    <w:rsid w:val="00196664"/>
    <w:rsid w:val="001A79B6"/>
    <w:rsid w:val="001A7E96"/>
    <w:rsid w:val="001C0852"/>
    <w:rsid w:val="001C2DA5"/>
    <w:rsid w:val="001D3909"/>
    <w:rsid w:val="001F1805"/>
    <w:rsid w:val="001F75D5"/>
    <w:rsid w:val="00205759"/>
    <w:rsid w:val="00220387"/>
    <w:rsid w:val="00224041"/>
    <w:rsid w:val="0022543F"/>
    <w:rsid w:val="00227E37"/>
    <w:rsid w:val="0023006F"/>
    <w:rsid w:val="0024758E"/>
    <w:rsid w:val="002511E4"/>
    <w:rsid w:val="00252A36"/>
    <w:rsid w:val="00260A45"/>
    <w:rsid w:val="00272AEE"/>
    <w:rsid w:val="00283FD7"/>
    <w:rsid w:val="00292D5E"/>
    <w:rsid w:val="002A7CB3"/>
    <w:rsid w:val="002B25C8"/>
    <w:rsid w:val="002F2176"/>
    <w:rsid w:val="002F2B84"/>
    <w:rsid w:val="002F461C"/>
    <w:rsid w:val="0030189B"/>
    <w:rsid w:val="00312100"/>
    <w:rsid w:val="003168DA"/>
    <w:rsid w:val="003417B8"/>
    <w:rsid w:val="00350578"/>
    <w:rsid w:val="00354D08"/>
    <w:rsid w:val="00357E7F"/>
    <w:rsid w:val="00375D08"/>
    <w:rsid w:val="00380662"/>
    <w:rsid w:val="003A6DB5"/>
    <w:rsid w:val="004112D5"/>
    <w:rsid w:val="00412910"/>
    <w:rsid w:val="004378E1"/>
    <w:rsid w:val="00443739"/>
    <w:rsid w:val="00444BBC"/>
    <w:rsid w:val="004501E6"/>
    <w:rsid w:val="0045193D"/>
    <w:rsid w:val="00451F6C"/>
    <w:rsid w:val="00451FF9"/>
    <w:rsid w:val="00456459"/>
    <w:rsid w:val="004679C3"/>
    <w:rsid w:val="00482C5E"/>
    <w:rsid w:val="004A39D9"/>
    <w:rsid w:val="004A444B"/>
    <w:rsid w:val="004C076D"/>
    <w:rsid w:val="004D1C38"/>
    <w:rsid w:val="004D645F"/>
    <w:rsid w:val="004E07ED"/>
    <w:rsid w:val="004E3DA7"/>
    <w:rsid w:val="004F24B0"/>
    <w:rsid w:val="005020E8"/>
    <w:rsid w:val="00523147"/>
    <w:rsid w:val="00531FDF"/>
    <w:rsid w:val="005354AA"/>
    <w:rsid w:val="0053634A"/>
    <w:rsid w:val="00545896"/>
    <w:rsid w:val="005723C7"/>
    <w:rsid w:val="005739F8"/>
    <w:rsid w:val="005A0EDC"/>
    <w:rsid w:val="005A3C62"/>
    <w:rsid w:val="005A4E7E"/>
    <w:rsid w:val="005B44BF"/>
    <w:rsid w:val="005B6FF7"/>
    <w:rsid w:val="005C6F24"/>
    <w:rsid w:val="005D1D89"/>
    <w:rsid w:val="005E2CF3"/>
    <w:rsid w:val="005E30A3"/>
    <w:rsid w:val="005E6F81"/>
    <w:rsid w:val="005F56D9"/>
    <w:rsid w:val="00612213"/>
    <w:rsid w:val="0061580E"/>
    <w:rsid w:val="00630A76"/>
    <w:rsid w:val="006378B6"/>
    <w:rsid w:val="006739CA"/>
    <w:rsid w:val="006A24FA"/>
    <w:rsid w:val="006A2C40"/>
    <w:rsid w:val="006B0CEE"/>
    <w:rsid w:val="006D711E"/>
    <w:rsid w:val="006E262C"/>
    <w:rsid w:val="006F12CD"/>
    <w:rsid w:val="00706B81"/>
    <w:rsid w:val="00722040"/>
    <w:rsid w:val="00732CDD"/>
    <w:rsid w:val="00733A36"/>
    <w:rsid w:val="0073561A"/>
    <w:rsid w:val="00735760"/>
    <w:rsid w:val="007450D2"/>
    <w:rsid w:val="0077100B"/>
    <w:rsid w:val="00786F2E"/>
    <w:rsid w:val="007904A7"/>
    <w:rsid w:val="00792269"/>
    <w:rsid w:val="00794586"/>
    <w:rsid w:val="007978B6"/>
    <w:rsid w:val="007A1F2D"/>
    <w:rsid w:val="007B2B13"/>
    <w:rsid w:val="007F59F1"/>
    <w:rsid w:val="00810444"/>
    <w:rsid w:val="00810CE1"/>
    <w:rsid w:val="00825E13"/>
    <w:rsid w:val="00835BC6"/>
    <w:rsid w:val="0086560C"/>
    <w:rsid w:val="0088156B"/>
    <w:rsid w:val="00885190"/>
    <w:rsid w:val="008B37AB"/>
    <w:rsid w:val="008C5766"/>
    <w:rsid w:val="008C7F82"/>
    <w:rsid w:val="008E4CD8"/>
    <w:rsid w:val="008F41E0"/>
    <w:rsid w:val="008F7EE7"/>
    <w:rsid w:val="00902E6C"/>
    <w:rsid w:val="00907170"/>
    <w:rsid w:val="009130A0"/>
    <w:rsid w:val="00922A8D"/>
    <w:rsid w:val="00946A67"/>
    <w:rsid w:val="0096107C"/>
    <w:rsid w:val="009746C5"/>
    <w:rsid w:val="009924DC"/>
    <w:rsid w:val="00992D85"/>
    <w:rsid w:val="00997C04"/>
    <w:rsid w:val="009B412C"/>
    <w:rsid w:val="009B7190"/>
    <w:rsid w:val="009E1779"/>
    <w:rsid w:val="009E797A"/>
    <w:rsid w:val="009F3DEE"/>
    <w:rsid w:val="00A12DDA"/>
    <w:rsid w:val="00A2623D"/>
    <w:rsid w:val="00A6505B"/>
    <w:rsid w:val="00A728FC"/>
    <w:rsid w:val="00A736B5"/>
    <w:rsid w:val="00A85076"/>
    <w:rsid w:val="00A95714"/>
    <w:rsid w:val="00AB4ED8"/>
    <w:rsid w:val="00AC5F10"/>
    <w:rsid w:val="00AC64D9"/>
    <w:rsid w:val="00AD72E1"/>
    <w:rsid w:val="00AF1DE3"/>
    <w:rsid w:val="00AF27FF"/>
    <w:rsid w:val="00AF7A93"/>
    <w:rsid w:val="00B003EE"/>
    <w:rsid w:val="00B13AFC"/>
    <w:rsid w:val="00B167AC"/>
    <w:rsid w:val="00B21326"/>
    <w:rsid w:val="00B40A06"/>
    <w:rsid w:val="00B473C2"/>
    <w:rsid w:val="00B47D2C"/>
    <w:rsid w:val="00B723AE"/>
    <w:rsid w:val="00B80974"/>
    <w:rsid w:val="00B82559"/>
    <w:rsid w:val="00B828CE"/>
    <w:rsid w:val="00B83F7A"/>
    <w:rsid w:val="00B84F08"/>
    <w:rsid w:val="00BA03E8"/>
    <w:rsid w:val="00BA507B"/>
    <w:rsid w:val="00BA72C8"/>
    <w:rsid w:val="00BB1053"/>
    <w:rsid w:val="00BB1124"/>
    <w:rsid w:val="00BE3206"/>
    <w:rsid w:val="00BE331A"/>
    <w:rsid w:val="00BF464E"/>
    <w:rsid w:val="00C123D2"/>
    <w:rsid w:val="00C14323"/>
    <w:rsid w:val="00C176EB"/>
    <w:rsid w:val="00C20E0A"/>
    <w:rsid w:val="00C2622E"/>
    <w:rsid w:val="00C4431F"/>
    <w:rsid w:val="00C4455B"/>
    <w:rsid w:val="00C45836"/>
    <w:rsid w:val="00C50CF6"/>
    <w:rsid w:val="00C72B9C"/>
    <w:rsid w:val="00C84028"/>
    <w:rsid w:val="00CA4058"/>
    <w:rsid w:val="00CB27DA"/>
    <w:rsid w:val="00CC2580"/>
    <w:rsid w:val="00CD0EE9"/>
    <w:rsid w:val="00CD159D"/>
    <w:rsid w:val="00CF03A1"/>
    <w:rsid w:val="00CF540B"/>
    <w:rsid w:val="00D21ADA"/>
    <w:rsid w:val="00D23B4D"/>
    <w:rsid w:val="00D23DBB"/>
    <w:rsid w:val="00D2455F"/>
    <w:rsid w:val="00D30986"/>
    <w:rsid w:val="00D46E26"/>
    <w:rsid w:val="00D63B3D"/>
    <w:rsid w:val="00D975C8"/>
    <w:rsid w:val="00DA1736"/>
    <w:rsid w:val="00DB0CB3"/>
    <w:rsid w:val="00DC5DF1"/>
    <w:rsid w:val="00DD0A4F"/>
    <w:rsid w:val="00DF60F7"/>
    <w:rsid w:val="00E14247"/>
    <w:rsid w:val="00E22AF5"/>
    <w:rsid w:val="00E322D4"/>
    <w:rsid w:val="00E50530"/>
    <w:rsid w:val="00E505C7"/>
    <w:rsid w:val="00E55BA7"/>
    <w:rsid w:val="00E73A9B"/>
    <w:rsid w:val="00E74F68"/>
    <w:rsid w:val="00E75466"/>
    <w:rsid w:val="00E96B46"/>
    <w:rsid w:val="00EB306F"/>
    <w:rsid w:val="00ED1CD2"/>
    <w:rsid w:val="00F127D8"/>
    <w:rsid w:val="00F13358"/>
    <w:rsid w:val="00F13A38"/>
    <w:rsid w:val="00F14B0C"/>
    <w:rsid w:val="00F16D1B"/>
    <w:rsid w:val="00F21A4A"/>
    <w:rsid w:val="00F22604"/>
    <w:rsid w:val="00F323F6"/>
    <w:rsid w:val="00F63FBA"/>
    <w:rsid w:val="00F67BB3"/>
    <w:rsid w:val="00F73856"/>
    <w:rsid w:val="00FA7BE9"/>
    <w:rsid w:val="00FB2BDA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A03E8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styleId="NoSpacing">
    <w:name w:val="No Spacing"/>
    <w:link w:val="NoSpacingChar"/>
    <w:uiPriority w:val="99"/>
    <w:qFormat/>
    <w:rsid w:val="004A444B"/>
    <w:pPr>
      <w:spacing w:after="0" w:line="240" w:lineRule="auto"/>
    </w:pPr>
    <w:rPr>
      <w:rFonts w:ascii="Calibri" w:eastAsia="Times New Roman" w:hAnsi="Calibri" w:cs="Calibri"/>
      <w:lang w:val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4A444B"/>
    <w:rPr>
      <w:rFonts w:ascii="Calibri" w:eastAsia="Times New Roman" w:hAnsi="Calibri" w:cs="Calibr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A03E8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styleId="NoSpacing">
    <w:name w:val="No Spacing"/>
    <w:link w:val="NoSpacingChar"/>
    <w:uiPriority w:val="99"/>
    <w:qFormat/>
    <w:rsid w:val="004A444B"/>
    <w:pPr>
      <w:spacing w:after="0" w:line="240" w:lineRule="auto"/>
    </w:pPr>
    <w:rPr>
      <w:rFonts w:ascii="Calibri" w:eastAsia="Times New Roman" w:hAnsi="Calibri" w:cs="Calibri"/>
      <w:lang w:val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4A444B"/>
    <w:rPr>
      <w:rFonts w:ascii="Calibri" w:eastAsia="Times New Roman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stinativat.me" TargetMode="External"/><Relationship Id="rId2" Type="http://schemas.openxmlformats.org/officeDocument/2006/relationships/hyperlink" Target="mailto:urbain@opstinativat.me" TargetMode="External"/><Relationship Id="rId1" Type="http://schemas.openxmlformats.org/officeDocument/2006/relationships/hyperlink" Target="http://www.opstinativat.me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urbain@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78BBFCA-B930-4CC7-9F1F-7A694D197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1277</Words>
  <Characters>7283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Biljana Krivokapic</cp:lastModifiedBy>
  <cp:revision>5</cp:revision>
  <cp:lastPrinted>2020-06-09T11:08:00Z</cp:lastPrinted>
  <dcterms:created xsi:type="dcterms:W3CDTF">2020-10-09T11:32:00Z</dcterms:created>
  <dcterms:modified xsi:type="dcterms:W3CDTF">2020-10-15T10:39:00Z</dcterms:modified>
</cp:coreProperties>
</file>