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88F" w:rsidRDefault="00C6088F">
      <w:pPr>
        <w:pStyle w:val="BodyText"/>
        <w:spacing w:before="4"/>
        <w:rPr>
          <w:sz w:val="33"/>
        </w:rPr>
      </w:pPr>
    </w:p>
    <w:p w:rsidR="00C6088F" w:rsidRDefault="003A3AAA">
      <w:pPr>
        <w:pStyle w:val="BodyText"/>
        <w:tabs>
          <w:tab w:val="left" w:pos="2404"/>
        </w:tabs>
        <w:spacing w:line="244" w:lineRule="auto"/>
        <w:ind w:left="100" w:right="112"/>
        <w:jc w:val="both"/>
      </w:pPr>
      <w:r>
        <w:t>Na osnovu člana 38 stav 1 tačka 2</w:t>
      </w:r>
      <w:r w:rsidR="00D329D0">
        <w:t xml:space="preserve"> i člana 185 </w:t>
      </w:r>
      <w:r>
        <w:t xml:space="preserve"> Zakona o lokalnoj samoupravi ("Služ</w:t>
      </w:r>
      <w:r w:rsidR="00D329D0">
        <w:t>beni list CG", br. 2/18, 34/19,</w:t>
      </w:r>
      <w:r>
        <w:rPr>
          <w:spacing w:val="1"/>
        </w:rPr>
        <w:t xml:space="preserve"> </w:t>
      </w:r>
      <w:r>
        <w:t>38/20</w:t>
      </w:r>
      <w:r w:rsidR="00D329D0">
        <w:t>, 50/22 i 84/22</w:t>
      </w:r>
      <w:r>
        <w:t>), člana 223 stav 2 Zakona o planiranju postora i izgradnji objekata (“Sl.list CG” broj 64/17, 44/18,</w:t>
      </w:r>
      <w:r>
        <w:rPr>
          <w:spacing w:val="1"/>
        </w:rPr>
        <w:t xml:space="preserve"> </w:t>
      </w:r>
      <w:r>
        <w:t xml:space="preserve">63/18 i 82/20), člana 8 stav 6 Odluke o izgradnji lokalnih objekata od opšteg interesa („Sl. list Crne Gore“ </w:t>
      </w:r>
      <w:r>
        <w:rPr>
          <w:w w:val="160"/>
        </w:rPr>
        <w:t>–</w:t>
      </w:r>
      <w:r>
        <w:rPr>
          <w:spacing w:val="1"/>
          <w:w w:val="160"/>
        </w:rPr>
        <w:t xml:space="preserve"> </w:t>
      </w:r>
      <w:r>
        <w:t>opštinski</w:t>
      </w:r>
      <w:r>
        <w:rPr>
          <w:spacing w:val="1"/>
        </w:rPr>
        <w:t xml:space="preserve"> </w:t>
      </w:r>
      <w:r>
        <w:t>propisi,</w:t>
      </w:r>
      <w:r>
        <w:rPr>
          <w:spacing w:val="1"/>
        </w:rPr>
        <w:t xml:space="preserve"> </w:t>
      </w:r>
      <w:r>
        <w:t>broj</w:t>
      </w:r>
      <w:r>
        <w:rPr>
          <w:spacing w:val="1"/>
        </w:rPr>
        <w:t xml:space="preserve"> </w:t>
      </w:r>
      <w:r>
        <w:t>18/14,</w:t>
      </w:r>
      <w:r>
        <w:rPr>
          <w:spacing w:val="1"/>
        </w:rPr>
        <w:t xml:space="preserve"> </w:t>
      </w:r>
      <w:r>
        <w:t>42/15,</w:t>
      </w:r>
      <w:r>
        <w:rPr>
          <w:spacing w:val="1"/>
        </w:rPr>
        <w:t xml:space="preserve"> </w:t>
      </w:r>
      <w:r>
        <w:t>28/16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07/21)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člana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stav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alineja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Statuta</w:t>
      </w:r>
      <w:r>
        <w:rPr>
          <w:spacing w:val="1"/>
        </w:rPr>
        <w:t xml:space="preserve"> </w:t>
      </w:r>
      <w:r>
        <w:t>Opštine</w:t>
      </w:r>
      <w:r>
        <w:rPr>
          <w:spacing w:val="58"/>
        </w:rPr>
        <w:t xml:space="preserve"> </w:t>
      </w:r>
      <w:r>
        <w:t>Tivat</w:t>
      </w:r>
      <w:r>
        <w:rPr>
          <w:spacing w:val="1"/>
        </w:rPr>
        <w:t xml:space="preserve"> </w:t>
      </w:r>
      <w:r>
        <w:t>("Službeni list CG - opštinski propisi", br. 24/18 i 09/20), Odbor povjerenika Opštine Tivat, nа sјеdnici</w:t>
      </w:r>
      <w:r>
        <w:rPr>
          <w:spacing w:val="1"/>
        </w:rPr>
        <w:t xml:space="preserve"> </w:t>
      </w:r>
      <w:r>
        <w:t>оdržаnој 29.08</w:t>
      </w:r>
      <w:r>
        <w:rPr>
          <w:rFonts w:ascii="Times New Roman" w:hAnsi="Times New Roman"/>
          <w:u w:val="single"/>
        </w:rPr>
        <w:tab/>
      </w:r>
      <w:r>
        <w:t>2022.</w:t>
      </w:r>
      <w:r>
        <w:rPr>
          <w:spacing w:val="1"/>
        </w:rPr>
        <w:t xml:space="preserve"> </w:t>
      </w:r>
      <w:r>
        <w:t>gоdinе,</w:t>
      </w:r>
      <w:r>
        <w:rPr>
          <w:spacing w:val="2"/>
        </w:rPr>
        <w:t xml:space="preserve"> </w:t>
      </w:r>
      <w:r>
        <w:t>dоnio</w:t>
      </w:r>
      <w:r>
        <w:rPr>
          <w:spacing w:val="1"/>
        </w:rPr>
        <w:t xml:space="preserve"> </w:t>
      </w:r>
      <w:r>
        <w:t>je</w:t>
      </w:r>
    </w:p>
    <w:p w:rsidR="00C6088F" w:rsidRDefault="00C6088F">
      <w:pPr>
        <w:pStyle w:val="BodyText"/>
        <w:rPr>
          <w:sz w:val="24"/>
        </w:rPr>
      </w:pPr>
    </w:p>
    <w:p w:rsidR="00C6088F" w:rsidRDefault="00C6088F">
      <w:pPr>
        <w:pStyle w:val="BodyText"/>
        <w:spacing w:before="5"/>
        <w:rPr>
          <w:sz w:val="30"/>
        </w:rPr>
      </w:pPr>
    </w:p>
    <w:p w:rsidR="00C6088F" w:rsidRDefault="003A3AAA">
      <w:pPr>
        <w:spacing w:line="252" w:lineRule="exact"/>
        <w:ind w:left="1165" w:right="1179"/>
        <w:jc w:val="center"/>
        <w:rPr>
          <w:rFonts w:ascii="Arial"/>
          <w:b/>
        </w:rPr>
      </w:pPr>
      <w:r>
        <w:rPr>
          <w:rFonts w:ascii="Arial"/>
          <w:b/>
        </w:rPr>
        <w:t>O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 U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K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U</w:t>
      </w:r>
    </w:p>
    <w:p w:rsidR="00C6088F" w:rsidRDefault="003A3AAA">
      <w:pPr>
        <w:spacing w:line="252" w:lineRule="exact"/>
        <w:ind w:left="2877"/>
        <w:rPr>
          <w:rFonts w:ascii="Arial" w:hAnsi="Arial"/>
          <w:b/>
        </w:rPr>
      </w:pP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izgradnji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lokalnog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objekta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opšteg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interesa</w:t>
      </w:r>
    </w:p>
    <w:p w:rsidR="00C6088F" w:rsidRDefault="003A3AAA">
      <w:pPr>
        <w:ind w:left="205" w:right="217" w:firstLine="345"/>
        <w:rPr>
          <w:rFonts w:ascii="Arial" w:hAnsi="Arial"/>
          <w:b/>
        </w:rPr>
      </w:pPr>
      <w:r>
        <w:rPr>
          <w:spacing w:val="-1"/>
          <w:w w:val="160"/>
        </w:rPr>
        <w:t xml:space="preserve">– </w:t>
      </w:r>
      <w:r>
        <w:rPr>
          <w:rFonts w:ascii="Arial" w:hAnsi="Arial"/>
          <w:b/>
          <w:spacing w:val="-1"/>
        </w:rPr>
        <w:t xml:space="preserve">kablovskog voda koji </w:t>
      </w:r>
      <w:r>
        <w:rPr>
          <w:rFonts w:ascii="Arial" w:hAnsi="Arial"/>
          <w:b/>
        </w:rPr>
        <w:t>će napajati trafostanicu NDTS 10/0.4 kV 2x1000kVA „Butiko“ i NDTS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10/0.4kV 2 x 1000 kVA „Voli“ sa trafostanice 35/10kV „Račica“, a prelazi preko dijelova kat.parc.br.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824,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1986/1,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1986/2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1990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sve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KO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Đuraševići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obuhvatu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PUP-a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(Prostorno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urbanističkog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plana)</w:t>
      </w:r>
    </w:p>
    <w:p w:rsidR="00C6088F" w:rsidRDefault="003A3AAA">
      <w:pPr>
        <w:spacing w:before="2"/>
        <w:ind w:left="1926"/>
        <w:rPr>
          <w:rFonts w:ascii="Arial" w:hAnsi="Arial"/>
          <w:b/>
        </w:rPr>
      </w:pPr>
      <w:r>
        <w:rPr>
          <w:rFonts w:ascii="Arial" w:hAnsi="Arial"/>
          <w:b/>
        </w:rPr>
        <w:t>Tivta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2020.godine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(»Sl.list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CG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opštinski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propisi«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br. 24/2010)</w:t>
      </w:r>
    </w:p>
    <w:p w:rsidR="00C6088F" w:rsidRDefault="00C6088F">
      <w:pPr>
        <w:pStyle w:val="BodyText"/>
        <w:rPr>
          <w:rFonts w:ascii="Arial"/>
          <w:b/>
          <w:sz w:val="24"/>
        </w:rPr>
      </w:pPr>
    </w:p>
    <w:p w:rsidR="00C6088F" w:rsidRDefault="00C6088F">
      <w:pPr>
        <w:pStyle w:val="BodyText"/>
        <w:spacing w:before="5"/>
        <w:rPr>
          <w:rFonts w:ascii="Arial"/>
          <w:b/>
          <w:sz w:val="20"/>
        </w:rPr>
      </w:pPr>
    </w:p>
    <w:p w:rsidR="00C6088F" w:rsidRDefault="003A3AAA">
      <w:pPr>
        <w:pStyle w:val="BodyText"/>
        <w:spacing w:before="1"/>
        <w:ind w:left="5016"/>
      </w:pPr>
      <w:r>
        <w:t>Član</w:t>
      </w:r>
      <w:r>
        <w:rPr>
          <w:spacing w:val="1"/>
        </w:rPr>
        <w:t xml:space="preserve"> </w:t>
      </w:r>
      <w:r>
        <w:t>1</w:t>
      </w:r>
    </w:p>
    <w:p w:rsidR="00C6088F" w:rsidRDefault="00C6088F">
      <w:pPr>
        <w:pStyle w:val="BodyText"/>
        <w:spacing w:before="1"/>
        <w:rPr>
          <w:sz w:val="33"/>
        </w:rPr>
      </w:pPr>
    </w:p>
    <w:p w:rsidR="00C6088F" w:rsidRDefault="003A3AAA">
      <w:pPr>
        <w:pStyle w:val="BodyText"/>
        <w:spacing w:line="268" w:lineRule="auto"/>
        <w:ind w:left="100" w:right="113"/>
        <w:jc w:val="both"/>
      </w:pPr>
      <w:r>
        <w:t>Ovom Odlukom utvrđuje se izgradnja lokalnog objekta od opšteg interesa i to kablovskog voda koji će</w:t>
      </w:r>
      <w:r>
        <w:rPr>
          <w:spacing w:val="1"/>
        </w:rPr>
        <w:t xml:space="preserve"> </w:t>
      </w:r>
      <w:r>
        <w:t>napajati</w:t>
      </w:r>
      <w:r>
        <w:rPr>
          <w:spacing w:val="1"/>
        </w:rPr>
        <w:t xml:space="preserve"> </w:t>
      </w:r>
      <w:r>
        <w:t>trafostanicu</w:t>
      </w:r>
      <w:r>
        <w:rPr>
          <w:spacing w:val="1"/>
        </w:rPr>
        <w:t xml:space="preserve"> </w:t>
      </w:r>
      <w:r>
        <w:t>NDTS</w:t>
      </w:r>
      <w:r>
        <w:rPr>
          <w:spacing w:val="1"/>
        </w:rPr>
        <w:t xml:space="preserve"> </w:t>
      </w:r>
      <w:r>
        <w:t>10/0.4</w:t>
      </w:r>
      <w:r>
        <w:rPr>
          <w:spacing w:val="1"/>
        </w:rPr>
        <w:t xml:space="preserve"> </w:t>
      </w:r>
      <w:r>
        <w:t>kV</w:t>
      </w:r>
      <w:r>
        <w:rPr>
          <w:spacing w:val="1"/>
        </w:rPr>
        <w:t xml:space="preserve"> </w:t>
      </w:r>
      <w:r>
        <w:t>2x1000kVA</w:t>
      </w:r>
      <w:r>
        <w:rPr>
          <w:spacing w:val="1"/>
        </w:rPr>
        <w:t xml:space="preserve"> </w:t>
      </w:r>
      <w:r>
        <w:t>„Butiko“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NDTS</w:t>
      </w:r>
      <w:r>
        <w:rPr>
          <w:spacing w:val="1"/>
        </w:rPr>
        <w:t xml:space="preserve"> </w:t>
      </w:r>
      <w:r>
        <w:t>10/0.4kV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1000</w:t>
      </w:r>
      <w:r>
        <w:rPr>
          <w:spacing w:val="1"/>
        </w:rPr>
        <w:t xml:space="preserve"> </w:t>
      </w:r>
      <w:r>
        <w:t>kVA</w:t>
      </w:r>
      <w:r>
        <w:rPr>
          <w:spacing w:val="1"/>
        </w:rPr>
        <w:t xml:space="preserve"> </w:t>
      </w:r>
      <w:r>
        <w:t>„Voli“</w:t>
      </w:r>
      <w:r>
        <w:rPr>
          <w:spacing w:val="1"/>
        </w:rPr>
        <w:t xml:space="preserve"> </w:t>
      </w:r>
      <w:r>
        <w:t>sa</w:t>
      </w:r>
      <w:r>
        <w:rPr>
          <w:spacing w:val="-56"/>
        </w:rPr>
        <w:t xml:space="preserve"> </w:t>
      </w:r>
      <w:r>
        <w:t>trafostanice 35/10kV „Račica“, a prelazi preko dijelova kat.parc.br. 824, 1986/1, 1986/2 i 1990 sve KO</w:t>
      </w:r>
      <w:r>
        <w:rPr>
          <w:spacing w:val="1"/>
        </w:rPr>
        <w:t xml:space="preserve"> </w:t>
      </w:r>
      <w:r>
        <w:t>Đuraševići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obuhvatu</w:t>
      </w:r>
      <w:r>
        <w:rPr>
          <w:spacing w:val="1"/>
        </w:rPr>
        <w:t xml:space="preserve"> </w:t>
      </w:r>
      <w:r>
        <w:t>PUP-a</w:t>
      </w:r>
      <w:r>
        <w:rPr>
          <w:spacing w:val="1"/>
        </w:rPr>
        <w:t xml:space="preserve"> </w:t>
      </w:r>
      <w:r>
        <w:t>(Prostorno</w:t>
      </w:r>
      <w:r>
        <w:rPr>
          <w:spacing w:val="1"/>
        </w:rPr>
        <w:t xml:space="preserve"> </w:t>
      </w:r>
      <w:r>
        <w:rPr>
          <w:w w:val="160"/>
        </w:rPr>
        <w:t xml:space="preserve">– </w:t>
      </w:r>
      <w:r>
        <w:t>urbanističkog</w:t>
      </w:r>
      <w:r>
        <w:rPr>
          <w:spacing w:val="1"/>
        </w:rPr>
        <w:t xml:space="preserve"> </w:t>
      </w:r>
      <w:r>
        <w:t>plana)</w:t>
      </w:r>
      <w:r>
        <w:rPr>
          <w:spacing w:val="1"/>
        </w:rPr>
        <w:t xml:space="preserve"> </w:t>
      </w:r>
      <w:r>
        <w:t>Tivta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2020.godine</w:t>
      </w:r>
      <w:r>
        <w:rPr>
          <w:spacing w:val="1"/>
        </w:rPr>
        <w:t xml:space="preserve"> </w:t>
      </w:r>
      <w:r>
        <w:t>(»Sl.list</w:t>
      </w:r>
      <w:r>
        <w:rPr>
          <w:spacing w:val="1"/>
        </w:rPr>
        <w:t xml:space="preserve"> </w:t>
      </w:r>
      <w:r>
        <w:t>CG</w:t>
      </w:r>
      <w:r>
        <w:rPr>
          <w:spacing w:val="1"/>
        </w:rPr>
        <w:t xml:space="preserve"> </w:t>
      </w:r>
      <w:r>
        <w:rPr>
          <w:w w:val="160"/>
        </w:rPr>
        <w:t>–</w:t>
      </w:r>
      <w:r>
        <w:rPr>
          <w:spacing w:val="1"/>
          <w:w w:val="160"/>
        </w:rPr>
        <w:t xml:space="preserve"> </w:t>
      </w:r>
      <w:r>
        <w:t>opštinski</w:t>
      </w:r>
      <w:r>
        <w:rPr>
          <w:spacing w:val="1"/>
        </w:rPr>
        <w:t xml:space="preserve"> </w:t>
      </w:r>
      <w:r>
        <w:t>propisi«</w:t>
      </w:r>
      <w:r>
        <w:rPr>
          <w:spacing w:val="2"/>
        </w:rPr>
        <w:t xml:space="preserve"> </w:t>
      </w:r>
      <w:r>
        <w:t>br.</w:t>
      </w:r>
      <w:r>
        <w:rPr>
          <w:spacing w:val="2"/>
        </w:rPr>
        <w:t xml:space="preserve"> </w:t>
      </w:r>
      <w:r>
        <w:t>24/2010).</w:t>
      </w:r>
    </w:p>
    <w:p w:rsidR="00C6088F" w:rsidRDefault="00C6088F">
      <w:pPr>
        <w:pStyle w:val="BodyText"/>
        <w:rPr>
          <w:sz w:val="24"/>
        </w:rPr>
      </w:pPr>
    </w:p>
    <w:p w:rsidR="00C6088F" w:rsidRDefault="00C6088F">
      <w:pPr>
        <w:pStyle w:val="BodyText"/>
        <w:spacing w:before="1"/>
        <w:rPr>
          <w:sz w:val="31"/>
        </w:rPr>
      </w:pPr>
    </w:p>
    <w:p w:rsidR="00C6088F" w:rsidRDefault="003A3AAA">
      <w:pPr>
        <w:pStyle w:val="BodyText"/>
        <w:ind w:left="5016"/>
      </w:pPr>
      <w:r>
        <w:t>Član</w:t>
      </w:r>
      <w:r>
        <w:rPr>
          <w:spacing w:val="1"/>
        </w:rPr>
        <w:t xml:space="preserve"> </w:t>
      </w:r>
      <w:r>
        <w:t>2</w:t>
      </w:r>
    </w:p>
    <w:p w:rsidR="00C6088F" w:rsidRDefault="00C6088F">
      <w:pPr>
        <w:pStyle w:val="BodyText"/>
        <w:spacing w:before="9"/>
      </w:pPr>
    </w:p>
    <w:p w:rsidR="00C6088F" w:rsidRDefault="003A3AAA">
      <w:pPr>
        <w:pStyle w:val="BodyText"/>
        <w:spacing w:line="280" w:lineRule="auto"/>
        <w:ind w:left="100" w:right="119"/>
        <w:jc w:val="both"/>
      </w:pPr>
      <w:r>
        <w:t>Predmet ove Odluke je određivanje trase kablovskog voda koji će napajati trafostanicu NDTS 10/0.4 kV</w:t>
      </w:r>
      <w:r>
        <w:rPr>
          <w:spacing w:val="1"/>
        </w:rPr>
        <w:t xml:space="preserve"> </w:t>
      </w:r>
      <w:r>
        <w:t>2x1000kVA „Butiko“</w:t>
      </w:r>
      <w:r>
        <w:rPr>
          <w:spacing w:val="2"/>
        </w:rPr>
        <w:t xml:space="preserve"> </w:t>
      </w:r>
      <w:r>
        <w:t>i NDTS 10/0.4kV 2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1000</w:t>
      </w:r>
      <w:r>
        <w:rPr>
          <w:spacing w:val="-2"/>
        </w:rPr>
        <w:t xml:space="preserve"> </w:t>
      </w:r>
      <w:r>
        <w:t>kVA „Voli“</w:t>
      </w:r>
      <w:r>
        <w:rPr>
          <w:spacing w:val="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trafostanice 35/10kV</w:t>
      </w:r>
      <w:r>
        <w:rPr>
          <w:spacing w:val="-2"/>
        </w:rPr>
        <w:t xml:space="preserve"> </w:t>
      </w:r>
      <w:r>
        <w:t>„Račica“.</w:t>
      </w:r>
    </w:p>
    <w:p w:rsidR="00C6088F" w:rsidRDefault="00C6088F">
      <w:pPr>
        <w:pStyle w:val="BodyText"/>
        <w:rPr>
          <w:sz w:val="24"/>
        </w:rPr>
      </w:pPr>
    </w:p>
    <w:p w:rsidR="00C6088F" w:rsidRDefault="00C6088F">
      <w:pPr>
        <w:pStyle w:val="BodyText"/>
        <w:rPr>
          <w:sz w:val="24"/>
        </w:rPr>
      </w:pPr>
    </w:p>
    <w:p w:rsidR="00C6088F" w:rsidRDefault="003A3AAA">
      <w:pPr>
        <w:pStyle w:val="BodyText"/>
        <w:spacing w:before="163"/>
        <w:ind w:left="5016"/>
      </w:pPr>
      <w:r>
        <w:t>Član</w:t>
      </w:r>
      <w:r>
        <w:rPr>
          <w:spacing w:val="1"/>
        </w:rPr>
        <w:t xml:space="preserve"> </w:t>
      </w:r>
      <w:r>
        <w:t>3</w:t>
      </w:r>
    </w:p>
    <w:p w:rsidR="00C6088F" w:rsidRDefault="00C6088F">
      <w:pPr>
        <w:pStyle w:val="BodyText"/>
        <w:spacing w:before="6"/>
      </w:pPr>
    </w:p>
    <w:p w:rsidR="00C6088F" w:rsidRDefault="003A3AAA">
      <w:pPr>
        <w:pStyle w:val="BodyText"/>
        <w:spacing w:line="244" w:lineRule="auto"/>
        <w:ind w:left="100" w:right="114"/>
        <w:jc w:val="both"/>
      </w:pPr>
      <w:r>
        <w:t>Izgradnja lokalnog objekta od opšteg interesa vršiće se po rješenju o odobrenju za građenje koje izdaje</w:t>
      </w:r>
      <w:r>
        <w:rPr>
          <w:spacing w:val="1"/>
        </w:rPr>
        <w:t xml:space="preserve"> </w:t>
      </w:r>
      <w:r>
        <w:t>organ</w:t>
      </w:r>
      <w:r>
        <w:rPr>
          <w:spacing w:val="2"/>
        </w:rPr>
        <w:t xml:space="preserve"> </w:t>
      </w:r>
      <w:r>
        <w:t>lokalne</w:t>
      </w:r>
      <w:r>
        <w:rPr>
          <w:spacing w:val="3"/>
        </w:rPr>
        <w:t xml:space="preserve"> </w:t>
      </w:r>
      <w:r>
        <w:t>uprave</w:t>
      </w:r>
      <w:r>
        <w:rPr>
          <w:spacing w:val="1"/>
        </w:rPr>
        <w:t xml:space="preserve"> </w:t>
      </w:r>
      <w:r>
        <w:t>nadležan</w:t>
      </w:r>
      <w:r>
        <w:rPr>
          <w:spacing w:val="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poslove</w:t>
      </w:r>
      <w:r>
        <w:rPr>
          <w:spacing w:val="6"/>
        </w:rPr>
        <w:t xml:space="preserve"> </w:t>
      </w:r>
      <w:r>
        <w:t>uređenja</w:t>
      </w:r>
      <w:r>
        <w:rPr>
          <w:spacing w:val="1"/>
        </w:rPr>
        <w:t xml:space="preserve"> </w:t>
      </w:r>
      <w:r>
        <w:t>prostora.</w:t>
      </w:r>
    </w:p>
    <w:p w:rsidR="00C6088F" w:rsidRDefault="00C6088F">
      <w:pPr>
        <w:pStyle w:val="BodyText"/>
        <w:spacing w:before="4"/>
      </w:pPr>
    </w:p>
    <w:p w:rsidR="00C6088F" w:rsidRDefault="003A3AAA">
      <w:pPr>
        <w:pStyle w:val="BodyText"/>
        <w:spacing w:line="242" w:lineRule="auto"/>
        <w:ind w:left="100" w:right="114"/>
        <w:jc w:val="both"/>
      </w:pPr>
      <w:r>
        <w:t>Glavni projekat kablovskog voda izradiće se i revidovati na osnovu ove Odluke, a u skladu sa važećim</w:t>
      </w:r>
      <w:r>
        <w:rPr>
          <w:spacing w:val="1"/>
        </w:rPr>
        <w:t xml:space="preserve"> </w:t>
      </w:r>
      <w:r>
        <w:t>tehničkim</w:t>
      </w:r>
      <w:r>
        <w:rPr>
          <w:spacing w:val="3"/>
        </w:rPr>
        <w:t xml:space="preserve"> </w:t>
      </w:r>
      <w:r>
        <w:t>normativima,</w:t>
      </w:r>
      <w:r>
        <w:rPr>
          <w:spacing w:val="3"/>
        </w:rPr>
        <w:t xml:space="preserve"> </w:t>
      </w:r>
      <w:r>
        <w:t>standardima i</w:t>
      </w:r>
      <w:r>
        <w:rPr>
          <w:spacing w:val="1"/>
        </w:rPr>
        <w:t xml:space="preserve"> </w:t>
      </w:r>
      <w:r>
        <w:t>normama</w:t>
      </w:r>
      <w:r>
        <w:rPr>
          <w:spacing w:val="1"/>
        </w:rPr>
        <w:t xml:space="preserve"> </w:t>
      </w:r>
      <w:r>
        <w:t>kvaliteta.</w:t>
      </w:r>
    </w:p>
    <w:p w:rsidR="00C6088F" w:rsidRDefault="00C6088F">
      <w:pPr>
        <w:pStyle w:val="BodyText"/>
        <w:rPr>
          <w:sz w:val="24"/>
        </w:rPr>
      </w:pPr>
    </w:p>
    <w:p w:rsidR="00C6088F" w:rsidRDefault="00C6088F">
      <w:pPr>
        <w:pStyle w:val="BodyText"/>
        <w:rPr>
          <w:sz w:val="24"/>
        </w:rPr>
      </w:pPr>
    </w:p>
    <w:p w:rsidR="00C6088F" w:rsidRDefault="00C6088F">
      <w:pPr>
        <w:pStyle w:val="BodyText"/>
        <w:spacing w:before="3"/>
        <w:rPr>
          <w:sz w:val="19"/>
        </w:rPr>
      </w:pPr>
    </w:p>
    <w:p w:rsidR="00C6088F" w:rsidRDefault="003A3AAA">
      <w:pPr>
        <w:pStyle w:val="BodyText"/>
        <w:ind w:left="5016"/>
      </w:pPr>
      <w:r>
        <w:t>Član</w:t>
      </w:r>
      <w:r>
        <w:rPr>
          <w:spacing w:val="-2"/>
        </w:rPr>
        <w:t xml:space="preserve"> </w:t>
      </w:r>
      <w:r>
        <w:t>4</w:t>
      </w:r>
    </w:p>
    <w:p w:rsidR="00C6088F" w:rsidRDefault="003A3AAA">
      <w:pPr>
        <w:pStyle w:val="BodyText"/>
        <w:spacing w:before="123" w:line="244" w:lineRule="auto"/>
        <w:ind w:left="100" w:right="112"/>
        <w:jc w:val="both"/>
      </w:pPr>
      <w:r>
        <w:t>Ova Odluka stupa na snagu osmog dana od dana od dana objavljivanja u "Službenom listu CG - Opštinski</w:t>
      </w:r>
      <w:r>
        <w:rPr>
          <w:spacing w:val="1"/>
        </w:rPr>
        <w:t xml:space="preserve"> </w:t>
      </w:r>
      <w:r>
        <w:t>propisi".</w:t>
      </w:r>
    </w:p>
    <w:p w:rsidR="00C6088F" w:rsidRDefault="00C6088F">
      <w:pPr>
        <w:pStyle w:val="BodyText"/>
        <w:rPr>
          <w:sz w:val="24"/>
        </w:rPr>
      </w:pPr>
    </w:p>
    <w:p w:rsidR="00C6088F" w:rsidRDefault="003A3AAA">
      <w:pPr>
        <w:tabs>
          <w:tab w:val="left" w:pos="1956"/>
        </w:tabs>
        <w:spacing w:before="214"/>
        <w:ind w:left="162"/>
        <w:rPr>
          <w:rFonts w:ascii="Arial"/>
          <w:b/>
        </w:rPr>
      </w:pPr>
      <w:r>
        <w:rPr>
          <w:rFonts w:ascii="Arial"/>
          <w:b/>
        </w:rPr>
        <w:t>Broj: 03-040/22-178</w:t>
      </w:r>
    </w:p>
    <w:p w:rsidR="00C6088F" w:rsidRDefault="003A3AAA">
      <w:pPr>
        <w:tabs>
          <w:tab w:val="left" w:pos="1407"/>
        </w:tabs>
        <w:spacing w:before="121"/>
        <w:ind w:left="100"/>
        <w:rPr>
          <w:rFonts w:ascii="Arial"/>
          <w:b/>
        </w:rPr>
      </w:pPr>
      <w:r>
        <w:rPr>
          <w:rFonts w:ascii="Arial"/>
          <w:b/>
        </w:rPr>
        <w:t>Tivat, 29.08.2022.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godine</w:t>
      </w:r>
    </w:p>
    <w:p w:rsidR="00C6088F" w:rsidRDefault="00C6088F">
      <w:pPr>
        <w:pStyle w:val="BodyText"/>
        <w:rPr>
          <w:rFonts w:ascii="Arial"/>
          <w:b/>
          <w:sz w:val="24"/>
        </w:rPr>
      </w:pPr>
    </w:p>
    <w:p w:rsidR="00C6088F" w:rsidRDefault="00C6088F">
      <w:pPr>
        <w:pStyle w:val="BodyText"/>
        <w:spacing w:before="10"/>
        <w:rPr>
          <w:rFonts w:ascii="Arial"/>
          <w:b/>
          <w:sz w:val="18"/>
        </w:rPr>
      </w:pPr>
    </w:p>
    <w:p w:rsidR="00C6088F" w:rsidRPr="003A3AAA" w:rsidRDefault="003A3AAA" w:rsidP="003A3AAA">
      <w:pPr>
        <w:spacing w:before="1" w:line="352" w:lineRule="auto"/>
        <w:ind w:left="4364" w:right="4381"/>
        <w:jc w:val="center"/>
        <w:rPr>
          <w:rFonts w:ascii="Arial"/>
          <w:b/>
        </w:rPr>
        <w:sectPr w:rsidR="00C6088F" w:rsidRPr="003A3AAA">
          <w:type w:val="continuous"/>
          <w:pgSz w:w="11910" w:h="16840"/>
          <w:pgMar w:top="620" w:right="600" w:bottom="280" w:left="620" w:header="720" w:footer="720" w:gutter="0"/>
          <w:cols w:space="720"/>
        </w:sectPr>
      </w:pPr>
      <w:r>
        <w:rPr>
          <w:rFonts w:ascii="Arial"/>
          <w:b/>
        </w:rPr>
        <w:t>Odbor povjerenika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Predsjednik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Goran</w:t>
      </w:r>
      <w:r>
        <w:rPr>
          <w:rFonts w:ascii="Arial"/>
          <w:b/>
          <w:spacing w:val="-4"/>
        </w:rPr>
        <w:t xml:space="preserve"> </w:t>
      </w:r>
      <w:r w:rsidR="00DC67F5">
        <w:rPr>
          <w:rFonts w:ascii="Arial"/>
          <w:b/>
        </w:rPr>
        <w:t>Sindik</w:t>
      </w:r>
      <w:bookmarkStart w:id="0" w:name="_GoBack"/>
      <w:bookmarkEnd w:id="0"/>
    </w:p>
    <w:p w:rsidR="00DC67F5" w:rsidRPr="005E04A1" w:rsidRDefault="00DC67F5" w:rsidP="005E04A1">
      <w:pPr>
        <w:tabs>
          <w:tab w:val="left" w:pos="2595"/>
        </w:tabs>
      </w:pPr>
    </w:p>
    <w:sectPr w:rsidR="00DC67F5" w:rsidRPr="005E04A1">
      <w:pgSz w:w="11910" w:h="16840"/>
      <w:pgMar w:top="15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088F"/>
    <w:rsid w:val="003A3AAA"/>
    <w:rsid w:val="005E04A1"/>
    <w:rsid w:val="00AF5B87"/>
    <w:rsid w:val="00C6088F"/>
    <w:rsid w:val="00D329D0"/>
    <w:rsid w:val="00D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EECCC"/>
  <w15:docId w15:val="{9E30F5D4-98D3-4DAB-87C8-44F42F6A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i/>
      <w:i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Arandjus</cp:lastModifiedBy>
  <cp:revision>6</cp:revision>
  <dcterms:created xsi:type="dcterms:W3CDTF">2022-09-02T11:52:00Z</dcterms:created>
  <dcterms:modified xsi:type="dcterms:W3CDTF">2022-09-02T12:04:00Z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2022-09-02T00:00:00Z</vt:filetime>
  </property>
</Properties>
</file>