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strike/>
          <w:spacing w:val="-10"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4547235</wp:posOffset>
                </wp:positionH>
                <wp:positionV relativeFrom="paragraph">
                  <wp:posOffset>170180</wp:posOffset>
                </wp:positionV>
                <wp:extent cx="2214245" cy="12477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</w:t>
                            </w:r>
                            <w:r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 xml:space="preserve">Trg Magnolija br.1    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Tivat</w:t>
                            </w:r>
                            <w:r>
                              <w:rPr>
                                <w:sz w:val="20"/>
                              </w:rPr>
                              <w:t xml:space="preserve">, Crna Gora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</w:t>
                            </w:r>
                            <w:r>
                              <w:rPr>
                                <w:sz w:val="20"/>
                              </w:rPr>
                              <w:t xml:space="preserve">(0)32 661 308,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 xml:space="preserve"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 xml:space="preserve">opstinativat.me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</w:r>
                          </w:p>
                          <w:p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 xml:space="preserve">email:sekretarso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  <w:t xml:space="preserve">@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 xml:space="preserve">opstinativat.me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61312;o:allowoverlap:true;o:allowincell:true;mso-position-horizontal-relative:text;margin-left:358.05pt;mso-position-horizontal:absolute;mso-position-vertical-relative:text;margin-top:13.40pt;mso-position-vertical:absolute;width:174.35pt;height:98.25pt;mso-wrap-distance-left:9.00pt;mso-wrap-distance-top:3.60pt;mso-wrap-distance-right:9.00pt;mso-wrap-distance-bottom:3.60pt;v-text-anchor:top;visibility:visible;" fillcolor="#FFFFFF" stroked="f">
                <v:textbox inset="0,0,0,0">
                  <w:txbxContent>
                    <w:p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</w:t>
                      </w:r>
                      <w:r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 xml:space="preserve">Trg Magnolija br.1    </w:t>
                      </w: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Tivat</w:t>
                      </w:r>
                      <w:r>
                        <w:rPr>
                          <w:sz w:val="20"/>
                        </w:rPr>
                        <w:t xml:space="preserve">, Crna Gora</w:t>
                      </w: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</w:t>
                      </w:r>
                      <w:r>
                        <w:rPr>
                          <w:sz w:val="20"/>
                        </w:rPr>
                        <w:t xml:space="preserve">(0)32 661 308,</w:t>
                      </w:r>
                      <w:r>
                        <w:rPr>
                          <w:sz w:val="20"/>
                        </w:rPr>
                      </w:r>
                    </w:p>
                    <w:p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 xml:space="preserve">www.</w:t>
                      </w:r>
                      <w:r>
                        <w:rPr>
                          <w:color w:val="0070c0"/>
                          <w:sz w:val="20"/>
                        </w:rPr>
                        <w:t xml:space="preserve">opstinativat.me</w:t>
                      </w:r>
                      <w:r>
                        <w:rPr>
                          <w:color w:val="0070c0"/>
                          <w:sz w:val="20"/>
                        </w:rPr>
                      </w:r>
                    </w:p>
                    <w:p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 xml:space="preserve">email:sekretarso</w:t>
                      </w:r>
                      <w:r>
                        <w:rPr>
                          <w:rFonts w:cstheme="minorHAnsi"/>
                          <w:color w:val="0070c0"/>
                          <w:sz w:val="20"/>
                        </w:rPr>
                        <w:t xml:space="preserve">@</w:t>
                      </w:r>
                      <w:r>
                        <w:rPr>
                          <w:color w:val="0070c0"/>
                          <w:sz w:val="20"/>
                        </w:rPr>
                        <w:t xml:space="preserve">opstinativat.me</w:t>
                      </w:r>
                      <w:r>
                        <w:rPr>
                          <w:sz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sz w:val="22"/>
          <w:szCs w:val="22"/>
          <w:lang w:val="sr-Latn-CS"/>
        </w:rPr>
      </w:r>
    </w:p>
    <w:p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</w:r>
      <w:r>
        <w:rPr>
          <w:rFonts w:ascii="Tahoma" w:hAnsi="Tahoma" w:cs="Tahoma"/>
          <w:b/>
          <w:sz w:val="22"/>
          <w:szCs w:val="22"/>
          <w:lang w:val="sr-Latn-CS"/>
        </w:rPr>
      </w:r>
    </w:p>
    <w:p>
      <w:pPr>
        <w:ind w:left="1134"/>
        <w:spacing w:before="120" w:after="80" w:line="192" w:lineRule="auto"/>
        <w:rPr>
          <w:rFonts w:ascii="Tahoma" w:hAnsi="Tahoma" w:cs="Tahoma" w:eastAsiaTheme="majorEastAsia"/>
          <w:spacing w:val="-10"/>
          <w:sz w:val="22"/>
          <w:szCs w:val="22"/>
        </w:rPr>
      </w:pPr>
      <w:r>
        <w:rPr>
          <w:rFonts w:ascii="Tahoma" w:hAnsi="Tahoma" w:cs="Tahoma"/>
          <w:spacing w:val="-10"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-192859</wp:posOffset>
                </wp:positionH>
                <wp:positionV relativeFrom="paragraph">
                  <wp:posOffset>-25752</wp:posOffset>
                </wp:positionV>
                <wp:extent cx="716511" cy="622833"/>
                <wp:effectExtent l="0" t="0" r="0" b="0"/>
                <wp:wrapNone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b CB 15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17345" cy="6235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60288;o:allowoverlap:true;o:allowincell:true;mso-position-horizontal-relative:text;margin-left:-15.19pt;mso-position-horizontal:absolute;mso-position-vertical-relative:text;margin-top:-2.03pt;mso-position-vertical:absolute;width:56.42pt;height:49.04pt;mso-wrap-distance-left:9.00pt;mso-wrap-distance-top:0.00pt;mso-wrap-distance-right:9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ahoma" w:hAnsi="Tahoma" w:cs="Tahoma"/>
          <w:spacing w:val="-10"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3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2" o:spid="_x0000_s2" style="position:absolute;left:0;text-align:left;z-index:251659264;mso-wrap-distance-left:9.00pt;mso-wrap-distance-top:0.00pt;mso-wrap-distance-right:9.00pt;mso-wrap-distance-bottom:0.00pt;visibility:visible;" from="49.0pt,4.1pt" to="49.0pt,54.1pt" filled="f" strokecolor="#D5B03D" strokeweight="1.50pt">
                <v:stroke dashstyle="solid"/>
              </v:line>
            </w:pict>
          </mc:Fallback>
        </mc:AlternateContent>
      </w:r>
      <w:r>
        <w:rPr>
          <w:rFonts w:ascii="Tahoma" w:hAnsi="Tahoma" w:cs="Tahoma"/>
          <w:spacing w:val="-10"/>
          <w:sz w:val="22"/>
          <w:szCs w:val="22"/>
        </w:rPr>
        <w:t xml:space="preserve">Crna Gora</w:t>
      </w:r>
      <w:r>
        <w:rPr>
          <w:rFonts w:ascii="Tahoma" w:hAnsi="Tahoma" w:cs="Tahoma" w:eastAsiaTheme="majorEastAsia"/>
          <w:spacing w:val="-10"/>
          <w:sz w:val="22"/>
          <w:szCs w:val="22"/>
        </w:rPr>
      </w:r>
    </w:p>
    <w:p>
      <w:pPr>
        <w:ind w:left="1134" w:right="57"/>
        <w:spacing w:line="192" w:lineRule="auto"/>
        <w:rPr>
          <w:rFonts w:ascii="Tahoma" w:hAnsi="Tahoma" w:cs="Tahoma"/>
          <w:spacing w:val="-10"/>
          <w:sz w:val="22"/>
          <w:szCs w:val="22"/>
          <w:lang w:val="sr-Latn-ME"/>
        </w:rPr>
      </w:pPr>
      <w:r>
        <w:rPr>
          <w:rFonts w:ascii="Tahoma" w:hAnsi="Tahoma" w:cs="Tahoma"/>
          <w:spacing w:val="-10"/>
          <w:sz w:val="22"/>
          <w:szCs w:val="22"/>
        </w:rPr>
        <w:t xml:space="preserve">Skupština op</w:t>
      </w:r>
      <w:r>
        <w:rPr>
          <w:rFonts w:ascii="Tahoma" w:hAnsi="Tahoma" w:cs="Tahoma"/>
          <w:spacing w:val="-10"/>
          <w:sz w:val="22"/>
          <w:szCs w:val="22"/>
          <w:lang w:val="sr-Latn-ME"/>
        </w:rPr>
        <w:t xml:space="preserve">štine Tivat</w:t>
      </w:r>
      <w:r>
        <w:rPr>
          <w:rFonts w:ascii="Tahoma" w:hAnsi="Tahoma" w:cs="Tahoma"/>
          <w:spacing w:val="-10"/>
          <w:sz w:val="22"/>
          <w:szCs w:val="22"/>
          <w:lang w:val="sr-Latn-ME"/>
        </w:rPr>
        <w:br/>
      </w:r>
      <w:r>
        <w:rPr>
          <w:rFonts w:ascii="Tahoma" w:hAnsi="Tahoma" w:cs="Tahoma"/>
          <w:spacing w:val="-10"/>
          <w:sz w:val="22"/>
          <w:szCs w:val="22"/>
          <w:lang w:val="sr-Latn-ME"/>
        </w:rPr>
      </w:r>
    </w:p>
    <w:p>
      <w:p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</w:r>
      <w:r>
        <w:rPr>
          <w:rFonts w:ascii="Tahoma" w:hAnsi="Tahoma" w:cs="Tahoma"/>
          <w:sz w:val="22"/>
          <w:szCs w:val="22"/>
          <w:lang w:val="sr-Latn-CS"/>
        </w:rPr>
      </w:r>
    </w:p>
    <w:p>
      <w:p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</w:r>
      <w:r>
        <w:rPr>
          <w:rFonts w:ascii="Tahoma" w:hAnsi="Tahoma" w:cs="Tahoma"/>
          <w:sz w:val="22"/>
          <w:szCs w:val="22"/>
          <w:lang w:val="sr-Latn-CS"/>
        </w:rPr>
      </w:r>
    </w:p>
    <w:p>
      <w:p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Broj: </w:t>
      </w:r>
      <w:r>
        <w:rPr>
          <w:rFonts w:ascii="Tahoma" w:hAnsi="Tahoma" w:cs="Tahoma"/>
          <w:sz w:val="22"/>
          <w:szCs w:val="22"/>
          <w:lang w:val="sr-Latn-CS"/>
        </w:rPr>
        <w:t xml:space="preserve"> </w:t>
      </w:r>
      <w:r>
        <w:rPr>
          <w:rFonts w:ascii="Tahoma" w:hAnsi="Tahoma" w:cs="Tahoma"/>
          <w:sz w:val="22"/>
          <w:szCs w:val="22"/>
          <w:lang w:val="sr-Latn-CS"/>
        </w:rPr>
        <w:t xml:space="preserve">03-016/2</w:t>
      </w:r>
      <w:r>
        <w:rPr>
          <w:rFonts w:ascii="Tahoma" w:hAnsi="Tahoma" w:cs="Tahoma"/>
          <w:sz w:val="22"/>
          <w:szCs w:val="22"/>
          <w:lang w:val="sr-Latn-CS"/>
        </w:rPr>
        <w:t xml:space="preserve">5</w:t>
      </w:r>
      <w:r>
        <w:rPr>
          <w:rFonts w:ascii="Tahoma" w:hAnsi="Tahoma" w:cs="Tahoma"/>
          <w:sz w:val="22"/>
          <w:szCs w:val="22"/>
          <w:lang w:val="sr-Latn-CS"/>
        </w:rPr>
        <w:t xml:space="preserve">-</w:t>
      </w:r>
      <w:r>
        <w:rPr>
          <w:rFonts w:ascii="Tahoma" w:hAnsi="Tahoma" w:cs="Tahoma"/>
          <w:sz w:val="22"/>
          <w:szCs w:val="22"/>
          <w:lang w:val="sr-Latn-CS"/>
        </w:rPr>
        <w:t xml:space="preserve">3</w:t>
      </w:r>
      <w:r>
        <w:rPr>
          <w:rFonts w:ascii="Tahoma" w:hAnsi="Tahoma" w:cs="Tahoma"/>
          <w:sz w:val="22"/>
          <w:szCs w:val="22"/>
          <w:lang w:val="sr-Latn-CS"/>
        </w:rPr>
        <w:t xml:space="preserve">/</w:t>
      </w:r>
      <w:r>
        <w:rPr>
          <w:rFonts w:ascii="Tahoma" w:hAnsi="Tahoma" w:cs="Tahoma"/>
          <w:sz w:val="22"/>
          <w:szCs w:val="22"/>
          <w:lang w:val="sr-Latn-CS"/>
        </w:rPr>
        <w:t xml:space="preserve">5</w:t>
      </w:r>
      <w:r>
        <w:rPr>
          <w:rFonts w:ascii="Tahoma" w:hAnsi="Tahoma" w:cs="Tahoma"/>
          <w:sz w:val="22"/>
          <w:szCs w:val="22"/>
          <w:lang w:val="sr-Latn-CS"/>
        </w:rPr>
      </w:r>
    </w:p>
    <w:p>
      <w:p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Tivat,</w:t>
      </w:r>
      <w:r>
        <w:rPr>
          <w:rFonts w:ascii="Tahoma" w:hAnsi="Tahoma" w:cs="Tahoma"/>
          <w:sz w:val="22"/>
          <w:szCs w:val="22"/>
          <w:lang w:val="sr-Latn-CS"/>
        </w:rPr>
        <w:t xml:space="preserve"> </w:t>
      </w:r>
      <w:r>
        <w:rPr>
          <w:rFonts w:ascii="Tahoma" w:hAnsi="Tahoma" w:cs="Tahoma"/>
          <w:sz w:val="22"/>
          <w:szCs w:val="22"/>
          <w:lang w:val="sr-Latn-CS"/>
        </w:rPr>
        <w:t xml:space="preserve">26</w:t>
      </w:r>
      <w:r>
        <w:rPr>
          <w:rFonts w:ascii="Tahoma" w:hAnsi="Tahoma" w:cs="Tahoma"/>
          <w:sz w:val="22"/>
          <w:szCs w:val="22"/>
          <w:lang w:val="sr-Latn-CS"/>
        </w:rPr>
        <w:t xml:space="preserve">.0</w:t>
      </w:r>
      <w:r>
        <w:rPr>
          <w:rFonts w:ascii="Tahoma" w:hAnsi="Tahoma" w:cs="Tahoma"/>
          <w:sz w:val="22"/>
          <w:szCs w:val="22"/>
          <w:lang w:val="sr-Latn-CS"/>
        </w:rPr>
        <w:t xml:space="preserve">6</w:t>
      </w:r>
      <w:r>
        <w:rPr>
          <w:rFonts w:ascii="Tahoma" w:hAnsi="Tahoma" w:cs="Tahoma"/>
          <w:sz w:val="22"/>
          <w:szCs w:val="22"/>
          <w:lang w:val="sr-Latn-CS"/>
        </w:rPr>
        <w:t xml:space="preserve">.2025</w:t>
      </w:r>
      <w:r>
        <w:rPr>
          <w:rFonts w:ascii="Tahoma" w:hAnsi="Tahoma" w:cs="Tahoma"/>
          <w:sz w:val="22"/>
          <w:szCs w:val="22"/>
          <w:lang w:val="sr-Latn-CS"/>
        </w:rPr>
        <w:t xml:space="preserve">. godine</w:t>
      </w:r>
      <w:r>
        <w:rPr>
          <w:rFonts w:ascii="Tahoma" w:hAnsi="Tahoma" w:cs="Tahoma"/>
          <w:sz w:val="22"/>
          <w:szCs w:val="22"/>
          <w:lang w:val="sr-Latn-CS"/>
        </w:rPr>
      </w:r>
    </w:p>
    <w:p>
      <w:p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</w:r>
      <w:r>
        <w:rPr>
          <w:rFonts w:ascii="Tahoma" w:hAnsi="Tahoma" w:cs="Tahoma"/>
          <w:sz w:val="22"/>
          <w:szCs w:val="22"/>
          <w:lang w:val="sr-Latn-CS"/>
        </w:rPr>
      </w:r>
    </w:p>
    <w:p>
      <w:p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</w:r>
      <w:r>
        <w:rPr>
          <w:rFonts w:ascii="Tahoma" w:hAnsi="Tahoma" w:cs="Tahoma"/>
          <w:sz w:val="22"/>
          <w:szCs w:val="22"/>
          <w:lang w:val="sr-Latn-CS"/>
        </w:rPr>
      </w:r>
    </w:p>
    <w:p>
      <w:pPr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Na osnovu člana </w:t>
      </w:r>
      <w:r>
        <w:rPr>
          <w:rFonts w:ascii="Tahoma" w:hAnsi="Tahoma" w:cs="Tahoma"/>
          <w:sz w:val="22"/>
          <w:szCs w:val="22"/>
          <w:lang w:val="sr-Latn-CS"/>
        </w:rPr>
        <w:t xml:space="preserve">70</w:t>
      </w:r>
      <w:r>
        <w:rPr>
          <w:rFonts w:ascii="Tahoma" w:hAnsi="Tahoma" w:cs="Tahoma"/>
          <w:sz w:val="22"/>
          <w:szCs w:val="22"/>
          <w:lang w:val="sr-Latn-CS"/>
        </w:rPr>
        <w:t xml:space="preserve"> Poslovnika o rad</w:t>
      </w:r>
      <w:r>
        <w:rPr>
          <w:rFonts w:ascii="Tahoma" w:hAnsi="Tahoma" w:cs="Tahoma"/>
          <w:sz w:val="22"/>
          <w:szCs w:val="22"/>
          <w:lang w:val="sr-Latn-CS"/>
        </w:rPr>
        <w:t xml:space="preserve">u</w:t>
      </w:r>
      <w:r>
        <w:rPr>
          <w:rFonts w:ascii="Tahoma" w:hAnsi="Tahoma" w:cs="Tahoma"/>
          <w:sz w:val="22"/>
          <w:szCs w:val="22"/>
          <w:lang w:val="sr-Latn-CS"/>
        </w:rPr>
        <w:t xml:space="preserve"> Skupštine opštine Tivat („Službeni list Crne Gore</w:t>
      </w:r>
      <w:r>
        <w:rPr>
          <w:rFonts w:ascii="Tahoma" w:hAnsi="Tahoma" w:cs="Tahoma"/>
          <w:sz w:val="22"/>
          <w:szCs w:val="22"/>
          <w:lang w:val="sr-Latn-CS"/>
        </w:rPr>
        <w:t xml:space="preserve"> </w:t>
      </w:r>
      <w:r>
        <w:rPr>
          <w:rFonts w:ascii="Tahoma" w:hAnsi="Tahoma" w:cs="Tahoma"/>
          <w:sz w:val="22"/>
          <w:szCs w:val="22"/>
          <w:lang w:val="sr-Latn-CS"/>
        </w:rPr>
        <w:t xml:space="preserve">-</w:t>
      </w:r>
      <w:r>
        <w:rPr>
          <w:rFonts w:ascii="Tahoma" w:hAnsi="Tahoma" w:cs="Tahoma"/>
          <w:sz w:val="22"/>
          <w:szCs w:val="22"/>
          <w:lang w:val="sr-Latn-CS"/>
        </w:rPr>
        <w:t xml:space="preserve"> </w:t>
      </w:r>
      <w:r>
        <w:rPr>
          <w:rFonts w:ascii="Tahoma" w:hAnsi="Tahoma" w:cs="Tahoma"/>
          <w:sz w:val="22"/>
          <w:szCs w:val="22"/>
          <w:lang w:val="sr-Latn-CS"/>
        </w:rPr>
        <w:t xml:space="preserve">opštinski propisi“</w:t>
      </w:r>
      <w:r>
        <w:rPr>
          <w:rFonts w:ascii="Tahoma" w:hAnsi="Tahoma" w:cs="Tahoma"/>
          <w:sz w:val="22"/>
          <w:szCs w:val="22"/>
          <w:lang w:val="sr-Latn-CS"/>
        </w:rPr>
        <w:t xml:space="preserve">,</w:t>
      </w:r>
      <w:r>
        <w:rPr>
          <w:rFonts w:ascii="Tahoma" w:hAnsi="Tahoma" w:cs="Tahoma"/>
          <w:sz w:val="22"/>
          <w:szCs w:val="22"/>
          <w:lang w:val="sr-Latn-CS"/>
        </w:rPr>
        <w:t xml:space="preserve"> br. </w:t>
      </w:r>
      <w:r>
        <w:rPr>
          <w:rFonts w:ascii="Tahoma" w:hAnsi="Tahoma" w:cs="Tahoma"/>
          <w:sz w:val="22"/>
          <w:szCs w:val="22"/>
          <w:lang w:val="sr-Latn-CS"/>
        </w:rPr>
        <w:t xml:space="preserve">36/24</w:t>
      </w:r>
      <w:r>
        <w:rPr>
          <w:rFonts w:ascii="Tahoma" w:hAnsi="Tahoma" w:cs="Tahoma"/>
          <w:sz w:val="22"/>
          <w:szCs w:val="22"/>
          <w:lang w:val="sr-Latn-CS"/>
        </w:rPr>
        <w:t xml:space="preserve">)</w:t>
      </w:r>
      <w:r>
        <w:rPr>
          <w:rFonts w:ascii="Tahoma" w:hAnsi="Tahoma" w:cs="Tahoma"/>
          <w:sz w:val="22"/>
          <w:szCs w:val="22"/>
          <w:lang w:val="sr-Latn-CS"/>
        </w:rPr>
        <w:t xml:space="preserve">,</w:t>
      </w:r>
      <w:r>
        <w:rPr>
          <w:rFonts w:ascii="Tahoma" w:hAnsi="Tahoma" w:cs="Tahoma"/>
          <w:sz w:val="22"/>
          <w:szCs w:val="22"/>
          <w:lang w:val="sr-Latn-CS"/>
        </w:rPr>
        <w:t xml:space="preserve"> </w:t>
      </w:r>
      <w:r>
        <w:rPr>
          <w:rFonts w:ascii="Tahoma" w:hAnsi="Tahoma" w:cs="Tahoma"/>
          <w:sz w:val="22"/>
          <w:szCs w:val="22"/>
          <w:lang w:val="sr-Latn-CS"/>
        </w:rPr>
        <w:t xml:space="preserve">sazivam</w:t>
      </w:r>
      <w:r>
        <w:rPr>
          <w:rFonts w:ascii="Tahoma" w:hAnsi="Tahoma" w:cs="Tahoma"/>
          <w:sz w:val="22"/>
          <w:szCs w:val="22"/>
          <w:lang w:val="sr-Latn-CS"/>
        </w:rPr>
      </w:r>
    </w:p>
    <w:p>
      <w:pPr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</w:r>
      <w:r>
        <w:rPr>
          <w:rFonts w:ascii="Tahoma" w:hAnsi="Tahoma" w:cs="Tahoma"/>
          <w:sz w:val="22"/>
          <w:szCs w:val="22"/>
          <w:lang w:val="sr-Latn-CS"/>
        </w:rPr>
      </w:r>
    </w:p>
    <w:p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</w:r>
      <w:r>
        <w:rPr>
          <w:rFonts w:ascii="Tahoma" w:hAnsi="Tahoma" w:cs="Tahoma"/>
          <w:b/>
          <w:sz w:val="22"/>
          <w:szCs w:val="22"/>
          <w:lang w:val="sr-Latn-CS"/>
        </w:rPr>
      </w:r>
    </w:p>
    <w:p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X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X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V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 SJEDNICU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 SKUPŠTINE OPŠTINE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>
        <w:rPr>
          <w:rFonts w:ascii="Tahoma" w:hAnsi="Tahoma" w:cs="Tahoma"/>
          <w:b/>
          <w:sz w:val="22"/>
          <w:szCs w:val="22"/>
          <w:lang w:val="sr-Latn-CS"/>
        </w:rPr>
      </w:r>
    </w:p>
    <w:p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</w:r>
      <w:r>
        <w:rPr>
          <w:rFonts w:ascii="Tahoma" w:hAnsi="Tahoma" w:cs="Tahoma"/>
          <w:b/>
          <w:sz w:val="22"/>
          <w:szCs w:val="22"/>
          <w:lang w:val="sr-Latn-CS"/>
        </w:rPr>
      </w:r>
    </w:p>
    <w:p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</w:r>
      <w:r>
        <w:rPr>
          <w:rFonts w:ascii="Tahoma" w:hAnsi="Tahoma" w:cs="Tahoma"/>
          <w:b/>
          <w:sz w:val="22"/>
          <w:szCs w:val="22"/>
          <w:lang w:val="sr-Latn-CS"/>
        </w:rPr>
      </w:r>
    </w:p>
    <w:p>
      <w:pPr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Sjednica će se održati</w:t>
      </w:r>
      <w:r>
        <w:rPr>
          <w:rFonts w:ascii="Tahoma" w:hAnsi="Tahoma" w:cs="Tahoma"/>
          <w:sz w:val="22"/>
          <w:szCs w:val="22"/>
          <w:lang w:val="sr-Latn-CS"/>
        </w:rPr>
        <w:t xml:space="preserve"> </w:t>
      </w:r>
      <w:r>
        <w:rPr>
          <w:rFonts w:ascii="Tahoma" w:hAnsi="Tahoma" w:cs="Tahoma"/>
          <w:sz w:val="22"/>
          <w:szCs w:val="22"/>
          <w:lang w:val="sr-Latn-CS"/>
        </w:rPr>
        <w:t xml:space="preserve">dana </w:t>
      </w:r>
      <w:r>
        <w:rPr>
          <w:rFonts w:ascii="Tahoma" w:hAnsi="Tahoma" w:cs="Tahoma"/>
          <w:b/>
          <w:bCs/>
          <w:sz w:val="22"/>
          <w:szCs w:val="22"/>
          <w:lang w:val="sr-Latn-CS"/>
        </w:rPr>
        <w:t xml:space="preserve">07</w:t>
      </w:r>
      <w:r>
        <w:rPr>
          <w:rFonts w:ascii="Tahoma" w:hAnsi="Tahoma" w:cs="Tahoma"/>
          <w:b/>
          <w:bCs/>
          <w:sz w:val="22"/>
          <w:szCs w:val="22"/>
          <w:lang w:val="sr-Latn-CS"/>
        </w:rPr>
        <w:t xml:space="preserve">.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0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7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.2025.</w:t>
      </w:r>
      <w:r>
        <w:rPr>
          <w:rFonts w:ascii="Tahoma" w:hAnsi="Tahoma" w:cs="Tahoma"/>
          <w:sz w:val="22"/>
          <w:szCs w:val="22"/>
          <w:lang w:val="sr-Latn-CS"/>
        </w:rPr>
        <w:t xml:space="preserve"> 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godine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(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ponedeljak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)</w:t>
      </w:r>
      <w:r>
        <w:rPr>
          <w:rFonts w:ascii="Tahoma" w:hAnsi="Tahoma" w:cs="Tahoma"/>
          <w:sz w:val="22"/>
          <w:szCs w:val="22"/>
          <w:lang w:val="sr-Latn-CS"/>
        </w:rPr>
        <w:t xml:space="preserve">,</w:t>
      </w:r>
      <w:r>
        <w:rPr>
          <w:rFonts w:ascii="Tahoma" w:hAnsi="Tahoma" w:cs="Tahoma"/>
          <w:sz w:val="22"/>
          <w:szCs w:val="22"/>
          <w:lang w:val="sr-Latn-CS"/>
        </w:rPr>
        <w:t xml:space="preserve"> </w:t>
      </w:r>
      <w:r>
        <w:rPr>
          <w:rFonts w:ascii="Tahoma" w:hAnsi="Tahoma" w:cs="Tahoma"/>
          <w:sz w:val="22"/>
          <w:szCs w:val="22"/>
          <w:lang w:val="sr-Latn-CS"/>
        </w:rPr>
        <w:t xml:space="preserve">u zgradi Opštine Tivat - s</w:t>
      </w:r>
      <w:r>
        <w:rPr>
          <w:rFonts w:ascii="Tahoma" w:hAnsi="Tahoma" w:cs="Tahoma"/>
          <w:sz w:val="22"/>
          <w:szCs w:val="22"/>
          <w:lang w:val="sr-Latn-CS"/>
        </w:rPr>
        <w:t xml:space="preserve">al</w:t>
      </w:r>
      <w:r>
        <w:rPr>
          <w:rFonts w:ascii="Tahoma" w:hAnsi="Tahoma" w:cs="Tahoma"/>
          <w:sz w:val="22"/>
          <w:szCs w:val="22"/>
          <w:lang w:val="sr-Latn-CS"/>
        </w:rPr>
        <w:t xml:space="preserve">a Skupštine</w:t>
      </w:r>
      <w:r>
        <w:rPr>
          <w:rFonts w:ascii="Tahoma" w:hAnsi="Tahoma" w:cs="Tahoma"/>
          <w:sz w:val="22"/>
          <w:szCs w:val="22"/>
          <w:lang w:val="sr-Latn-CS"/>
        </w:rPr>
        <w:t xml:space="preserve"> </w:t>
      </w:r>
      <w:r>
        <w:rPr>
          <w:rFonts w:ascii="Tahoma" w:hAnsi="Tahoma" w:cs="Tahoma"/>
          <w:sz w:val="22"/>
          <w:szCs w:val="22"/>
          <w:lang w:val="sr-Latn-CS"/>
        </w:rPr>
        <w:t xml:space="preserve">na III spratu</w:t>
      </w:r>
      <w:r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>
        <w:rPr>
          <w:rFonts w:ascii="Tahoma" w:hAnsi="Tahoma" w:cs="Tahoma"/>
          <w:b/>
          <w:bCs/>
          <w:sz w:val="22"/>
          <w:szCs w:val="22"/>
          <w:lang w:val="sr-Latn-CS"/>
        </w:rPr>
        <w:t xml:space="preserve">1</w:t>
      </w:r>
      <w:r>
        <w:rPr>
          <w:rFonts w:ascii="Tahoma" w:hAnsi="Tahoma" w:cs="Tahoma"/>
          <w:b/>
          <w:bCs/>
          <w:sz w:val="22"/>
          <w:szCs w:val="22"/>
          <w:lang w:val="sr-Latn-CS"/>
        </w:rPr>
        <w:t xml:space="preserve">1</w:t>
      </w:r>
      <w:r>
        <w:rPr>
          <w:rFonts w:ascii="Tahoma" w:hAnsi="Tahoma" w:cs="Tahoma"/>
          <w:b/>
          <w:bCs/>
          <w:sz w:val="22"/>
          <w:szCs w:val="22"/>
          <w:lang w:val="sr-Latn-CS"/>
        </w:rPr>
        <w:t xml:space="preserve"> 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časova</w:t>
      </w:r>
      <w:r>
        <w:rPr>
          <w:rFonts w:ascii="Tahoma" w:hAnsi="Tahoma" w:cs="Tahoma"/>
          <w:sz w:val="22"/>
          <w:szCs w:val="22"/>
          <w:lang w:val="sr-Latn-CS"/>
        </w:rPr>
        <w:t xml:space="preserve">.</w:t>
      </w:r>
      <w:r>
        <w:rPr>
          <w:rFonts w:ascii="Tahoma" w:hAnsi="Tahoma" w:cs="Tahoma"/>
          <w:sz w:val="22"/>
          <w:szCs w:val="22"/>
          <w:lang w:val="sr-Latn-CS"/>
        </w:rPr>
      </w:r>
    </w:p>
    <w:p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</w:r>
      <w:r>
        <w:rPr>
          <w:rFonts w:ascii="Tahoma" w:hAnsi="Tahoma" w:cs="Tahoma"/>
          <w:b/>
          <w:sz w:val="22"/>
          <w:szCs w:val="22"/>
          <w:lang w:val="sr-Latn-CS"/>
        </w:rPr>
      </w:r>
    </w:p>
    <w:p>
      <w:pPr>
        <w:rPr>
          <w:rFonts w:ascii="Tahoma" w:hAnsi="Tahoma" w:cs="Tahoma"/>
          <w:b/>
          <w:sz w:val="22"/>
          <w:szCs w:val="22"/>
          <w:u w:val="single"/>
          <w:lang w:val="sr-Latn-CS"/>
        </w:rPr>
      </w:pPr>
      <w:r>
        <w:rPr>
          <w:rFonts w:ascii="Tahoma" w:hAnsi="Tahoma" w:cs="Tahoma"/>
          <w:b/>
          <w:sz w:val="22"/>
          <w:szCs w:val="22"/>
          <w:u w:val="single"/>
          <w:lang w:val="sr-Latn-CS"/>
        </w:rPr>
      </w:r>
      <w:r>
        <w:rPr>
          <w:rFonts w:ascii="Tahoma" w:hAnsi="Tahoma" w:cs="Tahoma"/>
          <w:b/>
          <w:sz w:val="22"/>
          <w:szCs w:val="22"/>
          <w:u w:val="single"/>
          <w:lang w:val="sr-Latn-CS"/>
        </w:rPr>
      </w:r>
    </w:p>
    <w:p>
      <w:p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Za sjednicu predlažem sl</w:t>
      </w:r>
      <w:r>
        <w:rPr>
          <w:rFonts w:ascii="Tahoma" w:hAnsi="Tahoma" w:cs="Tahoma"/>
          <w:sz w:val="22"/>
          <w:szCs w:val="22"/>
          <w:lang w:val="sr-Latn-CS"/>
        </w:rPr>
        <w:t xml:space="preserve">jedeći</w:t>
      </w:r>
      <w:r>
        <w:rPr>
          <w:rFonts w:ascii="Tahoma" w:hAnsi="Tahoma" w:cs="Tahoma"/>
          <w:sz w:val="22"/>
          <w:szCs w:val="22"/>
          <w:lang w:val="sr-Latn-CS"/>
        </w:rPr>
        <w:t xml:space="preserve">:</w:t>
      </w:r>
      <w:r>
        <w:rPr>
          <w:rFonts w:ascii="Tahoma" w:hAnsi="Tahoma" w:cs="Tahoma"/>
          <w:sz w:val="22"/>
          <w:szCs w:val="22"/>
          <w:lang w:val="sr-Latn-CS"/>
        </w:rPr>
        <w:t xml:space="preserve">           </w:t>
      </w:r>
      <w:r>
        <w:rPr>
          <w:rFonts w:ascii="Tahoma" w:hAnsi="Tahoma" w:cs="Tahoma"/>
          <w:sz w:val="22"/>
          <w:szCs w:val="22"/>
          <w:lang w:val="sr-Latn-CS"/>
        </w:rPr>
      </w:r>
    </w:p>
    <w:p>
      <w:p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</w:r>
      <w:r>
        <w:rPr>
          <w:rFonts w:ascii="Tahoma" w:hAnsi="Tahoma" w:cs="Tahoma"/>
          <w:sz w:val="22"/>
          <w:szCs w:val="22"/>
          <w:lang w:val="sr-Latn-CS"/>
        </w:rPr>
      </w:r>
    </w:p>
    <w:p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D N E V N 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I    R E 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D</w:t>
      </w:r>
      <w:r>
        <w:rPr>
          <w:rFonts w:ascii="Tahoma" w:hAnsi="Tahoma" w:cs="Tahoma"/>
          <w:b/>
          <w:sz w:val="22"/>
          <w:szCs w:val="22"/>
          <w:lang w:val="sr-Latn-CS"/>
        </w:rPr>
      </w:r>
    </w:p>
    <w:p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           -</w:t>
      </w:r>
      <w:r>
        <w:rPr>
          <w:rFonts w:ascii="Tahoma" w:hAnsi="Tahoma" w:cs="Tahoma"/>
          <w:bCs/>
          <w:sz w:val="22"/>
          <w:szCs w:val="22"/>
          <w:lang w:val="sr-Latn-CS"/>
        </w:rPr>
        <w:t xml:space="preserve">Zapisnik o radu XXII sjednice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>
        <w:rPr>
          <w:rFonts w:ascii="Tahoma" w:hAnsi="Tahoma" w:cs="Tahoma"/>
          <w:b/>
          <w:sz w:val="22"/>
          <w:szCs w:val="22"/>
          <w:lang w:val="sr-Latn-CS"/>
        </w:rPr>
      </w:r>
    </w:p>
    <w:p>
      <w:pPr>
        <w:pStyle w:val="712"/>
        <w:numPr>
          <w:ilvl w:val="0"/>
          <w:numId w:val="37"/>
        </w:numPr>
        <w:jc w:val="both"/>
        <w:spacing w:before="120" w:after="120" w:line="264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Izvještaj o radu DOO “Biznis info centar” Tivat</w:t>
      </w:r>
      <w:r>
        <w:rPr>
          <w:rFonts w:ascii="Tahoma" w:hAnsi="Tahoma" w:cs="Tahoma"/>
          <w:sz w:val="22"/>
          <w:szCs w:val="22"/>
        </w:rPr>
        <w:t xml:space="preserve"> sa izvještajem nezavisnog revizora za 2024. </w:t>
      </w:r>
      <w:r>
        <w:rPr>
          <w:rFonts w:ascii="Tahoma" w:hAnsi="Tahoma" w:cs="Tahoma"/>
          <w:sz w:val="22"/>
          <w:szCs w:val="22"/>
        </w:rPr>
        <w:t xml:space="preserve">g</w:t>
      </w:r>
      <w:r>
        <w:rPr>
          <w:rFonts w:ascii="Tahoma" w:hAnsi="Tahoma" w:cs="Tahoma"/>
          <w:sz w:val="22"/>
          <w:szCs w:val="22"/>
        </w:rPr>
        <w:t xml:space="preserve">odinu</w:t>
      </w:r>
      <w:r>
        <w:rPr>
          <w:rFonts w:ascii="Tahoma" w:hAnsi="Tahoma" w:cs="Tahoma"/>
          <w:sz w:val="22"/>
          <w:szCs w:val="22"/>
        </w:rPr>
        <w:t xml:space="preserve">;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</w:r>
    </w:p>
    <w:p>
      <w:pPr>
        <w:pStyle w:val="712"/>
        <w:numPr>
          <w:ilvl w:val="0"/>
          <w:numId w:val="37"/>
        </w:numPr>
        <w:jc w:val="both"/>
        <w:spacing w:before="120" w:after="120" w:line="264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Predlog Odluke o utvrđivanju i raspodjeli dobiti DOO "Biznis info centar" Tivat za 2024. godinu;</w:t>
      </w:r>
      <w:r>
        <w:rPr>
          <w:rFonts w:ascii="Tahoma" w:hAnsi="Tahoma" w:cs="Tahoma"/>
          <w:sz w:val="22"/>
          <w:szCs w:val="22"/>
        </w:rPr>
      </w:r>
    </w:p>
    <w:p>
      <w:pPr>
        <w:pStyle w:val="712"/>
        <w:numPr>
          <w:ilvl w:val="0"/>
          <w:numId w:val="37"/>
        </w:numPr>
        <w:jc w:val="both"/>
        <w:spacing w:before="120" w:after="120" w:line="264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Predlog Odluke o </w:t>
      </w:r>
      <w:r>
        <w:rPr>
          <w:rFonts w:ascii="Tahoma" w:hAnsi="Tahoma" w:cs="Tahoma"/>
          <w:sz w:val="22"/>
          <w:szCs w:val="22"/>
        </w:rPr>
        <w:t xml:space="preserve">imenovanju Savjeta JU </w:t>
      </w:r>
      <w:r>
        <w:rPr>
          <w:rFonts w:ascii="Tahoma" w:hAnsi="Tahoma" w:cs="Tahoma"/>
          <w:sz w:val="22"/>
          <w:szCs w:val="22"/>
        </w:rPr>
        <w:t xml:space="preserve">“</w:t>
      </w:r>
      <w:r>
        <w:rPr>
          <w:rFonts w:ascii="Tahoma" w:hAnsi="Tahoma" w:cs="Tahoma"/>
          <w:sz w:val="22"/>
          <w:szCs w:val="22"/>
        </w:rPr>
        <w:t xml:space="preserve">Gradska biblioteka Tivat</w:t>
      </w:r>
      <w:r>
        <w:rPr>
          <w:rFonts w:ascii="Tahoma" w:hAnsi="Tahoma" w:cs="Tahoma"/>
          <w:sz w:val="22"/>
          <w:szCs w:val="22"/>
        </w:rPr>
        <w:t xml:space="preserve">”</w:t>
      </w:r>
      <w:r>
        <w:rPr>
          <w:rFonts w:ascii="Tahoma" w:hAnsi="Tahoma" w:cs="Tahoma"/>
          <w:sz w:val="22"/>
          <w:szCs w:val="22"/>
        </w:rPr>
        <w:t xml:space="preserve">;</w:t>
      </w:r>
      <w:r>
        <w:rPr>
          <w:rFonts w:ascii="Tahoma" w:hAnsi="Tahoma" w:cs="Tahoma"/>
          <w:sz w:val="22"/>
          <w:szCs w:val="22"/>
        </w:rPr>
      </w:r>
    </w:p>
    <w:p>
      <w:pPr>
        <w:pStyle w:val="712"/>
        <w:numPr>
          <w:ilvl w:val="0"/>
          <w:numId w:val="37"/>
        </w:numPr>
        <w:jc w:val="both"/>
        <w:spacing w:before="120" w:after="120" w:line="264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Informacija o radu</w:t>
      </w:r>
      <w:r>
        <w:rPr>
          <w:rFonts w:ascii="Tahoma" w:hAnsi="Tahoma" w:cs="Tahoma"/>
          <w:sz w:val="22"/>
          <w:szCs w:val="22"/>
        </w:rPr>
        <w:t xml:space="preserve"> JU</w:t>
      </w:r>
      <w:r>
        <w:rPr>
          <w:rFonts w:ascii="Tahoma" w:hAnsi="Tahoma" w:cs="Tahoma"/>
          <w:sz w:val="22"/>
          <w:szCs w:val="22"/>
        </w:rPr>
        <w:t xml:space="preserve"> SMŠ </w:t>
      </w:r>
      <w:r>
        <w:rPr>
          <w:rFonts w:ascii="Tahoma" w:hAnsi="Tahoma" w:cs="Tahoma"/>
          <w:sz w:val="22"/>
          <w:szCs w:val="22"/>
        </w:rPr>
        <w:t xml:space="preserve">“</w:t>
      </w:r>
      <w:r>
        <w:rPr>
          <w:rFonts w:ascii="Tahoma" w:hAnsi="Tahoma" w:cs="Tahoma"/>
          <w:sz w:val="22"/>
          <w:szCs w:val="22"/>
        </w:rPr>
        <w:t xml:space="preserve">Mladost</w:t>
      </w:r>
      <w:r>
        <w:rPr>
          <w:rFonts w:ascii="Tahoma" w:hAnsi="Tahoma" w:cs="Tahoma"/>
          <w:sz w:val="22"/>
          <w:szCs w:val="22"/>
        </w:rPr>
        <w:t xml:space="preserve">”</w:t>
      </w:r>
      <w:r>
        <w:rPr>
          <w:rFonts w:ascii="Tahoma" w:hAnsi="Tahoma" w:cs="Tahoma"/>
          <w:sz w:val="22"/>
          <w:szCs w:val="22"/>
        </w:rPr>
        <w:t xml:space="preserve"> Tiv</w:t>
      </w:r>
      <w:r>
        <w:rPr>
          <w:rFonts w:ascii="Tahoma" w:hAnsi="Tahoma" w:cs="Tahoma"/>
          <w:sz w:val="22"/>
          <w:szCs w:val="22"/>
        </w:rPr>
        <w:t xml:space="preserve">a</w:t>
      </w:r>
      <w:r>
        <w:rPr>
          <w:rFonts w:ascii="Tahoma" w:hAnsi="Tahoma" w:cs="Tahoma"/>
          <w:sz w:val="22"/>
          <w:szCs w:val="22"/>
        </w:rPr>
        <w:t xml:space="preserve">t za 2024. godinu;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</w:r>
    </w:p>
    <w:p>
      <w:pPr>
        <w:pStyle w:val="712"/>
        <w:numPr>
          <w:ilvl w:val="0"/>
          <w:numId w:val="37"/>
        </w:numPr>
        <w:jc w:val="both"/>
        <w:spacing w:before="120" w:after="120" w:line="264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Informacija o radu</w:t>
      </w:r>
      <w:r>
        <w:rPr>
          <w:rFonts w:ascii="Tahoma" w:hAnsi="Tahoma" w:cs="Tahoma"/>
          <w:sz w:val="22"/>
          <w:szCs w:val="22"/>
        </w:rPr>
        <w:t xml:space="preserve"> JU</w:t>
      </w:r>
      <w:r>
        <w:rPr>
          <w:rFonts w:ascii="Tahoma" w:hAnsi="Tahoma" w:cs="Tahoma"/>
          <w:sz w:val="22"/>
          <w:szCs w:val="22"/>
        </w:rPr>
        <w:t xml:space="preserve"> OŠ </w:t>
      </w:r>
      <w:r>
        <w:rPr>
          <w:rFonts w:ascii="Tahoma" w:hAnsi="Tahoma" w:cs="Tahoma"/>
          <w:sz w:val="22"/>
          <w:szCs w:val="22"/>
        </w:rPr>
        <w:t xml:space="preserve">“</w:t>
      </w:r>
      <w:r>
        <w:rPr>
          <w:rFonts w:ascii="Tahoma" w:hAnsi="Tahoma" w:cs="Tahoma"/>
          <w:sz w:val="22"/>
          <w:szCs w:val="22"/>
        </w:rPr>
        <w:t xml:space="preserve">Drago Milović</w:t>
      </w:r>
      <w:r>
        <w:rPr>
          <w:rFonts w:ascii="Tahoma" w:hAnsi="Tahoma" w:cs="Tahoma"/>
          <w:sz w:val="22"/>
          <w:szCs w:val="22"/>
        </w:rPr>
        <w:t xml:space="preserve">”</w:t>
      </w:r>
      <w:r>
        <w:rPr>
          <w:rFonts w:ascii="Tahoma" w:hAnsi="Tahoma" w:cs="Tahoma"/>
          <w:sz w:val="22"/>
          <w:szCs w:val="22"/>
        </w:rPr>
        <w:t xml:space="preserve"> Tiv</w:t>
      </w:r>
      <w:r>
        <w:rPr>
          <w:rFonts w:ascii="Tahoma" w:hAnsi="Tahoma" w:cs="Tahoma"/>
          <w:sz w:val="22"/>
          <w:szCs w:val="22"/>
        </w:rPr>
        <w:t xml:space="preserve">a</w:t>
      </w:r>
      <w:r>
        <w:rPr>
          <w:rFonts w:ascii="Tahoma" w:hAnsi="Tahoma" w:cs="Tahoma"/>
          <w:sz w:val="22"/>
          <w:szCs w:val="22"/>
        </w:rPr>
        <w:t xml:space="preserve">t za 2024. godinu;</w:t>
      </w:r>
      <w:r>
        <w:rPr>
          <w:rFonts w:ascii="Tahoma" w:hAnsi="Tahoma" w:cs="Tahoma"/>
          <w:sz w:val="22"/>
          <w:szCs w:val="22"/>
        </w:rPr>
      </w:r>
    </w:p>
    <w:p>
      <w:pPr>
        <w:pStyle w:val="712"/>
        <w:numPr>
          <w:ilvl w:val="0"/>
          <w:numId w:val="37"/>
        </w:numPr>
        <w:jc w:val="both"/>
        <w:spacing w:before="120" w:after="120" w:line="264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Informacija o radu </w:t>
      </w:r>
      <w:r>
        <w:rPr>
          <w:rFonts w:ascii="Tahoma" w:hAnsi="Tahoma" w:cs="Tahoma"/>
          <w:sz w:val="22"/>
          <w:szCs w:val="22"/>
        </w:rPr>
        <w:t xml:space="preserve">JU </w:t>
      </w:r>
      <w:r>
        <w:rPr>
          <w:rFonts w:ascii="Tahoma" w:hAnsi="Tahoma" w:cs="Tahoma"/>
          <w:sz w:val="22"/>
          <w:szCs w:val="22"/>
        </w:rPr>
        <w:t xml:space="preserve">OŠ </w:t>
      </w:r>
      <w:r>
        <w:rPr>
          <w:rFonts w:ascii="Tahoma" w:hAnsi="Tahoma" w:cs="Tahoma"/>
          <w:sz w:val="22"/>
          <w:szCs w:val="22"/>
        </w:rPr>
        <w:t xml:space="preserve">“</w:t>
      </w:r>
      <w:r>
        <w:rPr>
          <w:rFonts w:ascii="Tahoma" w:hAnsi="Tahoma" w:cs="Tahoma"/>
          <w:sz w:val="22"/>
          <w:szCs w:val="22"/>
        </w:rPr>
        <w:t xml:space="preserve">Branko Brinić</w:t>
      </w:r>
      <w:r>
        <w:rPr>
          <w:rFonts w:ascii="Tahoma" w:hAnsi="Tahoma" w:cs="Tahoma"/>
          <w:sz w:val="22"/>
          <w:szCs w:val="22"/>
        </w:rPr>
        <w:t xml:space="preserve">”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Tivat</w:t>
      </w:r>
      <w:r>
        <w:rPr>
          <w:rFonts w:ascii="Tahoma" w:hAnsi="Tahoma" w:cs="Tahoma"/>
          <w:sz w:val="22"/>
          <w:szCs w:val="22"/>
        </w:rPr>
        <w:t xml:space="preserve"> za 2024. godinu;</w:t>
      </w:r>
      <w:r>
        <w:rPr>
          <w:rFonts w:ascii="Tahoma" w:hAnsi="Tahoma" w:cs="Tahoma"/>
          <w:sz w:val="22"/>
          <w:szCs w:val="22"/>
        </w:rPr>
      </w:r>
    </w:p>
    <w:p>
      <w:pPr>
        <w:pStyle w:val="712"/>
        <w:numPr>
          <w:ilvl w:val="0"/>
          <w:numId w:val="37"/>
        </w:numPr>
        <w:jc w:val="both"/>
        <w:spacing w:before="120" w:after="120" w:line="264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Izvještaj o radu </w:t>
      </w:r>
      <w:r>
        <w:rPr>
          <w:rFonts w:ascii="Tahoma" w:hAnsi="Tahoma" w:cs="Tahoma"/>
          <w:sz w:val="22"/>
          <w:szCs w:val="22"/>
        </w:rPr>
        <w:t xml:space="preserve">DOO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“</w:t>
      </w:r>
      <w:r>
        <w:rPr>
          <w:rFonts w:ascii="Tahoma" w:hAnsi="Tahoma" w:cs="Tahoma"/>
          <w:sz w:val="22"/>
          <w:szCs w:val="22"/>
        </w:rPr>
        <w:t xml:space="preserve">Autobuska stanica</w:t>
      </w:r>
      <w:r>
        <w:rPr>
          <w:rFonts w:ascii="Tahoma" w:hAnsi="Tahoma" w:cs="Tahoma"/>
          <w:sz w:val="22"/>
          <w:szCs w:val="22"/>
        </w:rPr>
        <w:t xml:space="preserve">”</w:t>
      </w:r>
      <w:r>
        <w:rPr>
          <w:rFonts w:ascii="Tahoma" w:hAnsi="Tahoma" w:cs="Tahoma"/>
          <w:sz w:val="22"/>
          <w:szCs w:val="22"/>
        </w:rPr>
        <w:t xml:space="preserve"> Tivat sa finansijskim izvještajem i izvještajem nezavisnog revizora za 2024. godinu;</w:t>
      </w:r>
      <w:r>
        <w:rPr>
          <w:rFonts w:ascii="Tahoma" w:hAnsi="Tahoma" w:cs="Tahoma"/>
          <w:sz w:val="22"/>
          <w:szCs w:val="22"/>
        </w:rPr>
      </w:r>
    </w:p>
    <w:p>
      <w:pPr>
        <w:pStyle w:val="712"/>
        <w:numPr>
          <w:ilvl w:val="0"/>
          <w:numId w:val="37"/>
        </w:numPr>
        <w:jc w:val="both"/>
        <w:spacing w:before="120" w:after="120" w:line="264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Informacija o realizaciji sredstava opredijeljenih za projekte nevladinih organizacija za 2024. godinu;</w:t>
      </w:r>
      <w:r>
        <w:rPr>
          <w:rFonts w:ascii="Tahoma" w:hAnsi="Tahoma" w:cs="Tahoma"/>
          <w:sz w:val="22"/>
          <w:szCs w:val="22"/>
        </w:rPr>
      </w:r>
    </w:p>
    <w:p>
      <w:pPr>
        <w:pStyle w:val="712"/>
        <w:numPr>
          <w:ilvl w:val="0"/>
          <w:numId w:val="37"/>
        </w:numPr>
        <w:jc w:val="both"/>
        <w:spacing w:before="120" w:after="120" w:line="264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Predlog Odluke o završnom računu budžeta opštine Tivat za 2024.godinu;</w:t>
      </w:r>
      <w:r>
        <w:rPr>
          <w:rFonts w:ascii="Tahoma" w:hAnsi="Tahoma" w:cs="Tahoma"/>
          <w:sz w:val="22"/>
          <w:szCs w:val="22"/>
        </w:rPr>
      </w:r>
    </w:p>
    <w:p>
      <w:pPr>
        <w:pStyle w:val="712"/>
        <w:numPr>
          <w:ilvl w:val="0"/>
          <w:numId w:val="37"/>
        </w:numPr>
        <w:jc w:val="both"/>
        <w:spacing w:before="120" w:after="120" w:line="264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Predlog Odluke o restrukturiranju društva “Parking servis” DOO Tivat i “Autobuska stanica” DOO Tivat</w:t>
      </w:r>
      <w:r>
        <w:rPr>
          <w:rFonts w:ascii="Tahoma" w:hAnsi="Tahoma" w:cs="Tahoma"/>
          <w:sz w:val="22"/>
          <w:szCs w:val="22"/>
        </w:rPr>
        <w:t xml:space="preserve">;</w:t>
      </w:r>
      <w:r>
        <w:rPr>
          <w:rFonts w:ascii="Tahoma" w:hAnsi="Tahoma" w:cs="Tahoma"/>
          <w:sz w:val="22"/>
          <w:szCs w:val="22"/>
        </w:rPr>
      </w:r>
    </w:p>
    <w:p>
      <w:pPr>
        <w:pStyle w:val="715"/>
        <w:numPr>
          <w:ilvl w:val="0"/>
          <w:numId w:val="37"/>
        </w:numPr>
        <w:jc w:val="both"/>
        <w:spacing w:before="0" w:after="0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 xml:space="preserve">Predlog Odluke 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o davanju saglasnosti na Izvještaj o pravnim i ekonomskim razlozima i posljedicama statusne promjene spajanja uz pripajanje društava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"Parking servis" d.o.o. Tivat i "Autobuska stanica" d.o.o. Tivat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;</w:t>
      </w:r>
      <w:r>
        <w:rPr>
          <w:rFonts w:ascii="Tahoma" w:hAnsi="Tahoma" w:cs="Tahoma"/>
          <w:b w:val="0"/>
          <w:bCs w:val="0"/>
          <w:sz w:val="22"/>
          <w:szCs w:val="22"/>
        </w:rPr>
      </w:r>
    </w:p>
    <w:p>
      <w:pPr>
        <w:pStyle w:val="715"/>
        <w:numPr>
          <w:ilvl w:val="0"/>
          <w:numId w:val="37"/>
        </w:numPr>
        <w:jc w:val="both"/>
        <w:spacing w:before="0" w:after="0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 xml:space="preserve">Predlog Odluke 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o usvajanju Nacrta ugovora o spajanju uz pripajanje "Parking servis" d.o.o. Tivat i "Autobuska stanica" d.o.o. Tivat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;</w:t>
      </w:r>
      <w:r>
        <w:rPr>
          <w:rFonts w:ascii="Tahoma" w:hAnsi="Tahoma" w:cs="Tahoma"/>
          <w:b w:val="0"/>
          <w:bCs w:val="0"/>
          <w:sz w:val="22"/>
          <w:szCs w:val="22"/>
        </w:rPr>
      </w:r>
    </w:p>
    <w:p>
      <w:p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</w:r>
      <w:r>
        <w:rPr>
          <w:rFonts w:ascii="Tahoma" w:hAnsi="Tahoma" w:cs="Tahoma"/>
          <w:sz w:val="22"/>
          <w:szCs w:val="22"/>
          <w:lang w:val="sr-Latn-CS"/>
        </w:rPr>
      </w:r>
    </w:p>
    <w:p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Predsjednik Skupštine,</w:t>
      </w:r>
      <w:r>
        <w:rPr>
          <w:rFonts w:ascii="Tahoma" w:hAnsi="Tahoma" w:cs="Tahoma"/>
          <w:sz w:val="22"/>
          <w:szCs w:val="22"/>
          <w:lang w:val="sr-Latn-CS"/>
        </w:rPr>
      </w:r>
    </w:p>
    <w:p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</w:r>
      <w:r>
        <w:rPr>
          <w:rFonts w:ascii="Tahoma" w:hAnsi="Tahoma" w:cs="Tahoma"/>
          <w:sz w:val="22"/>
          <w:szCs w:val="22"/>
          <w:lang w:val="sr-Latn-CS"/>
        </w:rPr>
      </w:r>
    </w:p>
    <w:p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mr </w:t>
      </w:r>
      <w:r>
        <w:rPr>
          <w:rFonts w:ascii="Tahoma" w:hAnsi="Tahoma" w:cs="Tahoma"/>
          <w:sz w:val="22"/>
          <w:szCs w:val="22"/>
          <w:lang w:val="sr-Latn-CS"/>
        </w:rPr>
        <w:t xml:space="preserve">Miljan Marković</w:t>
      </w:r>
      <w:r>
        <w:rPr>
          <w:rFonts w:ascii="Tahoma" w:hAnsi="Tahoma" w:cs="Tahoma"/>
          <w:sz w:val="22"/>
          <w:szCs w:val="22"/>
          <w:lang w:val="sr-Latn-CS"/>
        </w:rPr>
        <w:t xml:space="preserve">, s.r.</w:t>
      </w:r>
      <w:r>
        <w:rPr>
          <w:rFonts w:ascii="Tahoma" w:hAnsi="Tahoma" w:cs="Tahoma"/>
          <w:sz w:val="22"/>
          <w:szCs w:val="22"/>
          <w:lang w:val="sr-Latn-CS"/>
        </w:rPr>
      </w:r>
    </w:p>
    <w:sectPr>
      <w:footnotePr/>
      <w:endnotePr/>
      <w:type w:val="nextPage"/>
      <w:pgSz w:w="12240" w:h="15840" w:orient="portrait"/>
      <w:pgMar w:top="899" w:right="851" w:bottom="540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506030602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70" w:hanging="360"/>
      </w:pPr>
      <w:rPr>
        <w:rFonts w:hint="default" w:ascii="Tahoma" w:hAnsi="Tahoma" w:eastAsia="Times New Roman" w:cs="Tahoma"/>
      </w:rPr>
    </w:lvl>
    <w:lvl w:ilvl="1">
      <w:start w:val="1"/>
      <w:numFmt w:val="bullet"/>
      <w:isLgl w:val="false"/>
      <w:suff w:val="tab"/>
      <w:lvlText w:val="o"/>
      <w:lvlJc w:val="left"/>
      <w:pPr>
        <w:ind w:left="129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1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3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5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7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9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1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3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ahoma" w:hAnsi="Tahoma" w:eastAsia="Times New Roman" w:cs="Tahoma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ascii="Tahoma" w:hAnsi="Tahoma" w:eastAsia="Times New Roman" w:cs="Tahoma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8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4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3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08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</w:pPr>
      <w:rPr>
        <w:rFonts w:hint="default" w:ascii="Arial" w:hAnsi="Arial" w:eastAsia="Calibri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24"/>
  </w:num>
  <w:num w:numId="4">
    <w:abstractNumId w:val="30"/>
  </w:num>
  <w:num w:numId="5">
    <w:abstractNumId w:val="11"/>
  </w:num>
  <w:num w:numId="6">
    <w:abstractNumId w:val="42"/>
  </w:num>
  <w:num w:numId="7">
    <w:abstractNumId w:val="35"/>
  </w:num>
  <w:num w:numId="8">
    <w:abstractNumId w:val="5"/>
  </w:num>
  <w:num w:numId="9">
    <w:abstractNumId w:val="20"/>
  </w:num>
  <w:num w:numId="10">
    <w:abstractNumId w:val="31"/>
  </w:num>
  <w:num w:numId="11">
    <w:abstractNumId w:val="43"/>
  </w:num>
  <w:num w:numId="12">
    <w:abstractNumId w:val="36"/>
  </w:num>
  <w:num w:numId="13">
    <w:abstractNumId w:val="29"/>
  </w:num>
  <w:num w:numId="14">
    <w:abstractNumId w:val="17"/>
  </w:num>
  <w:num w:numId="15">
    <w:abstractNumId w:val="39"/>
  </w:num>
  <w:num w:numId="16">
    <w:abstractNumId w:val="9"/>
  </w:num>
  <w:num w:numId="17">
    <w:abstractNumId w:val="38"/>
  </w:num>
  <w:num w:numId="18">
    <w:abstractNumId w:val="23"/>
  </w:num>
  <w:num w:numId="19">
    <w:abstractNumId w:val="40"/>
  </w:num>
  <w:num w:numId="20">
    <w:abstractNumId w:val="21"/>
  </w:num>
  <w:num w:numId="21">
    <w:abstractNumId w:val="41"/>
  </w:num>
  <w:num w:numId="22">
    <w:abstractNumId w:val="1"/>
  </w:num>
  <w:num w:numId="23">
    <w:abstractNumId w:val="18"/>
  </w:num>
  <w:num w:numId="24">
    <w:abstractNumId w:val="16"/>
  </w:num>
  <w:num w:numId="25">
    <w:abstractNumId w:val="0"/>
  </w:num>
  <w:num w:numId="26">
    <w:abstractNumId w:val="0"/>
  </w:num>
  <w:num w:numId="27">
    <w:abstractNumId w:val="8"/>
  </w:num>
  <w:num w:numId="28">
    <w:abstractNumId w:val="6"/>
  </w:num>
  <w:num w:numId="29">
    <w:abstractNumId w:val="7"/>
  </w:num>
  <w:num w:numId="30">
    <w:abstractNumId w:val="33"/>
  </w:num>
  <w:num w:numId="31">
    <w:abstractNumId w:val="32"/>
  </w:num>
  <w:num w:numId="32">
    <w:abstractNumId w:val="19"/>
  </w:num>
  <w:num w:numId="33">
    <w:abstractNumId w:val="4"/>
  </w:num>
  <w:num w:numId="34">
    <w:abstractNumId w:val="25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34"/>
  </w:num>
  <w:num w:numId="39">
    <w:abstractNumId w:val="10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26"/>
  </w:num>
  <w:num w:numId="45">
    <w:abstractNumId w:val="27"/>
  </w:num>
  <w:num w:numId="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sr-Latn-R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8"/>
    <w:next w:val="70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8"/>
    <w:next w:val="70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8"/>
    <w:next w:val="70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8"/>
    <w:next w:val="70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8"/>
    <w:next w:val="70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8"/>
    <w:next w:val="70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8"/>
    <w:next w:val="70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8"/>
    <w:next w:val="70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8"/>
    <w:next w:val="70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8"/>
    <w:next w:val="70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9"/>
    <w:link w:val="34"/>
    <w:uiPriority w:val="10"/>
    <w:rPr>
      <w:sz w:val="48"/>
      <w:szCs w:val="48"/>
    </w:rPr>
  </w:style>
  <w:style w:type="paragraph" w:styleId="36">
    <w:name w:val="Subtitle"/>
    <w:basedOn w:val="708"/>
    <w:next w:val="70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9"/>
    <w:link w:val="36"/>
    <w:uiPriority w:val="11"/>
    <w:rPr>
      <w:sz w:val="24"/>
      <w:szCs w:val="24"/>
    </w:rPr>
  </w:style>
  <w:style w:type="paragraph" w:styleId="38">
    <w:name w:val="Quote"/>
    <w:basedOn w:val="708"/>
    <w:next w:val="70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8"/>
    <w:next w:val="70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09"/>
    <w:link w:val="42"/>
    <w:uiPriority w:val="99"/>
  </w:style>
  <w:style w:type="paragraph" w:styleId="44">
    <w:name w:val="Footer"/>
    <w:basedOn w:val="70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09"/>
    <w:link w:val="44"/>
    <w:uiPriority w:val="99"/>
  </w:style>
  <w:style w:type="paragraph" w:styleId="46">
    <w:name w:val="Caption"/>
    <w:basedOn w:val="708"/>
    <w:next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71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9"/>
    <w:uiPriority w:val="99"/>
    <w:unhideWhenUsed/>
    <w:rPr>
      <w:vertAlign w:val="superscript"/>
    </w:rPr>
  </w:style>
  <w:style w:type="paragraph" w:styleId="178">
    <w:name w:val="endnote text"/>
    <w:basedOn w:val="70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9"/>
    <w:uiPriority w:val="99"/>
    <w:semiHidden/>
    <w:unhideWhenUsed/>
    <w:rPr>
      <w:vertAlign w:val="superscript"/>
    </w:rPr>
  </w:style>
  <w:style w:type="paragraph" w:styleId="181">
    <w:name w:val="toc 1"/>
    <w:basedOn w:val="708"/>
    <w:next w:val="70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8"/>
    <w:next w:val="70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8"/>
    <w:next w:val="70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8"/>
    <w:next w:val="70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8"/>
    <w:next w:val="70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8"/>
    <w:next w:val="70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8"/>
    <w:next w:val="70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8"/>
    <w:next w:val="70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8"/>
    <w:next w:val="70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8"/>
    <w:next w:val="708"/>
    <w:uiPriority w:val="99"/>
    <w:unhideWhenUsed/>
    <w:pPr>
      <w:spacing w:after="0" w:afterAutospacing="0"/>
    </w:pPr>
  </w:style>
  <w:style w:type="paragraph" w:styleId="70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paragraph" w:styleId="712">
    <w:name w:val="List Paragraph"/>
    <w:basedOn w:val="708"/>
    <w:uiPriority w:val="34"/>
    <w:qFormat/>
    <w:pPr>
      <w:contextualSpacing/>
      <w:ind w:left="720"/>
    </w:pPr>
  </w:style>
  <w:style w:type="paragraph" w:styleId="713">
    <w:name w:val="Balloon Text"/>
    <w:basedOn w:val="708"/>
    <w:link w:val="71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14" w:customStyle="1">
    <w:name w:val="Balloon Text Char"/>
    <w:basedOn w:val="709"/>
    <w:link w:val="713"/>
    <w:uiPriority w:val="99"/>
    <w:semiHidden/>
    <w:rPr>
      <w:rFonts w:ascii="Segoe UI" w:hAnsi="Segoe UI" w:eastAsia="Times New Roman" w:cs="Segoe UI"/>
      <w:sz w:val="18"/>
      <w:szCs w:val="18"/>
      <w:lang w:val="en-US"/>
    </w:rPr>
  </w:style>
  <w:style w:type="paragraph" w:styleId="715" w:customStyle="1">
    <w:name w:val="N03Y"/>
    <w:basedOn w:val="708"/>
    <w:uiPriority w:val="99"/>
    <w:pPr>
      <w:jc w:val="center"/>
      <w:spacing w:before="200" w:after="200"/>
    </w:pPr>
    <w:rPr>
      <w:rFonts w:eastAsiaTheme="minorEastAsia"/>
      <w:b/>
      <w:bCs/>
      <w:color w:val="000000"/>
      <w:sz w:val="28"/>
      <w:szCs w:val="28"/>
      <w:lang w:val="sr-Latn-ME" w:eastAsia="sr-Latn-M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7B61-4728-469F-862B-31F3450C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Tanja Pericic</cp:lastModifiedBy>
  <cp:revision>399</cp:revision>
  <dcterms:created xsi:type="dcterms:W3CDTF">2023-06-16T10:23:00Z</dcterms:created>
  <dcterms:modified xsi:type="dcterms:W3CDTF">2025-06-26T13:45:48Z</dcterms:modified>
</cp:coreProperties>
</file>