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DE69" w14:textId="77777777" w:rsidR="00EB3DB1" w:rsidRDefault="0000000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L548/2022</w:t>
      </w:r>
    </w:p>
    <w:p w14:paraId="19C624E9" w14:textId="77777777" w:rsidR="00EB3D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AMENDAMENTE PROPUSE </w:t>
      </w:r>
    </w:p>
    <w:p w14:paraId="6182AC0D" w14:textId="77777777" w:rsidR="00EB3DB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asupra proiectului de lege privind aprobarea Ordonanţei de urgenţã a Guvernului nr.119/2022 pentru modificarea şi completarea Ordonanţei de urgenţă a Guvernului nr.27/2022 privind măsurile aplicabile clienţilor finali din piaţa de energie electrică şi gaze naturale în perioada 1 aprilie 2022-31 martie 2023, precum şi pentru modificarea şi completarea unor acte normative din domeniul Energiei</w:t>
      </w:r>
    </w:p>
    <w:p w14:paraId="6D0F4B68" w14:textId="77777777" w:rsidR="00EB3DB1" w:rsidRDefault="00EB3DB1">
      <w:pPr>
        <w:spacing w:after="0" w:line="240" w:lineRule="auto"/>
        <w:jc w:val="center"/>
        <w:rPr>
          <w:rFonts w:ascii="Times New Roman" w:eastAsia="Times New Roman" w:hAnsi="Times New Roman" w:cs="Times New Roman"/>
          <w:sz w:val="24"/>
          <w:szCs w:val="24"/>
        </w:rPr>
      </w:pPr>
    </w:p>
    <w:tbl>
      <w:tblPr>
        <w:tblStyle w:val="a0"/>
        <w:tblW w:w="1502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5981"/>
        <w:gridCol w:w="6237"/>
        <w:gridCol w:w="2239"/>
      </w:tblGrid>
      <w:tr w:rsidR="00EB3DB1" w14:paraId="1D203ACE" w14:textId="77777777">
        <w:tc>
          <w:tcPr>
            <w:tcW w:w="569" w:type="dxa"/>
          </w:tcPr>
          <w:p w14:paraId="7ECCC911" w14:textId="77777777" w:rsidR="00EB3DB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Nr. crt.</w:t>
            </w:r>
          </w:p>
        </w:tc>
        <w:tc>
          <w:tcPr>
            <w:tcW w:w="5981" w:type="dxa"/>
          </w:tcPr>
          <w:p w14:paraId="114A8DC9" w14:textId="77777777" w:rsidR="00EB3DB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Text OUG</w:t>
            </w:r>
          </w:p>
        </w:tc>
        <w:tc>
          <w:tcPr>
            <w:tcW w:w="6237" w:type="dxa"/>
          </w:tcPr>
          <w:p w14:paraId="742E0E31" w14:textId="77777777" w:rsidR="00EB3DB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Amendament</w:t>
            </w:r>
          </w:p>
        </w:tc>
        <w:tc>
          <w:tcPr>
            <w:tcW w:w="2239" w:type="dxa"/>
          </w:tcPr>
          <w:p w14:paraId="25E35428" w14:textId="77777777" w:rsidR="00EB3DB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Motivare</w:t>
            </w:r>
          </w:p>
        </w:tc>
      </w:tr>
      <w:tr w:rsidR="00EB3DB1" w:rsidRPr="00F63B7B" w14:paraId="0DE82CAB" w14:textId="77777777">
        <w:tc>
          <w:tcPr>
            <w:tcW w:w="569" w:type="dxa"/>
          </w:tcPr>
          <w:p w14:paraId="787CB41E" w14:textId="77777777" w:rsidR="00EB3DB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81" w:type="dxa"/>
          </w:tcPr>
          <w:p w14:paraId="6316E772" w14:textId="77777777" w:rsidR="00EB3DB1" w:rsidRPr="00F63B7B" w:rsidRDefault="00000000">
            <w:pPr>
              <w:spacing w:before="60" w:after="0" w:line="379" w:lineRule="auto"/>
              <w:ind w:left="120" w:right="100"/>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Art. 1. </w:t>
            </w:r>
            <w:proofErr w:type="gramStart"/>
            <w:r w:rsidRPr="00F63B7B">
              <w:rPr>
                <w:rFonts w:ascii="Times New Roman" w:eastAsia="Times New Roman" w:hAnsi="Times New Roman" w:cs="Times New Roman"/>
                <w:sz w:val="24"/>
                <w:szCs w:val="24"/>
                <w:lang w:val="fr-FR"/>
              </w:rPr>
              <w:t>se</w:t>
            </w:r>
            <w:proofErr w:type="gramEnd"/>
            <w:r w:rsidRPr="00F63B7B">
              <w:rPr>
                <w:rFonts w:ascii="Times New Roman" w:eastAsia="Times New Roman" w:hAnsi="Times New Roman" w:cs="Times New Roman"/>
                <w:sz w:val="24"/>
                <w:szCs w:val="24"/>
                <w:lang w:val="fr-FR"/>
              </w:rPr>
              <w:t xml:space="preserve"> modifică și va avea următorul cuprins:</w:t>
            </w:r>
          </w:p>
          <w:p w14:paraId="00B9E6B2"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(1) Prin derogare de la prevederile </w:t>
            </w:r>
            <w:hyperlink r:id="rId7">
              <w:r w:rsidRPr="00F63B7B">
                <w:rPr>
                  <w:rFonts w:ascii="Times New Roman" w:eastAsia="Times New Roman" w:hAnsi="Times New Roman" w:cs="Times New Roman"/>
                  <w:sz w:val="24"/>
                  <w:szCs w:val="24"/>
                  <w:lang w:val="fr-FR"/>
                </w:rPr>
                <w:t>art. 80 alin. (2) din Legea energiei electrice și a gazelor naturale nr. 123/2012</w:t>
              </w:r>
            </w:hyperlink>
            <w:r w:rsidRPr="00F63B7B">
              <w:rPr>
                <w:rFonts w:ascii="Times New Roman" w:eastAsia="Times New Roman" w:hAnsi="Times New Roman" w:cs="Times New Roman"/>
                <w:sz w:val="24"/>
                <w:szCs w:val="24"/>
                <w:lang w:val="fr-FR"/>
              </w:rPr>
              <w:t xml:space="preserve">, cu modificările și completările ulterioare, pentru consumul realizat în perioada 1 septembrie 2022-31 august 2023, prețul final facturat plafonat de către furnizorii de energie electrică </w:t>
            </w:r>
            <w:proofErr w:type="gramStart"/>
            <w:r w:rsidRPr="00F63B7B">
              <w:rPr>
                <w:rFonts w:ascii="Times New Roman" w:eastAsia="Times New Roman" w:hAnsi="Times New Roman" w:cs="Times New Roman"/>
                <w:sz w:val="24"/>
                <w:szCs w:val="24"/>
                <w:lang w:val="fr-FR"/>
              </w:rPr>
              <w:t>este:</w:t>
            </w:r>
            <w:proofErr w:type="gramEnd"/>
          </w:p>
          <w:p w14:paraId="76D3EBD0"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a) maximum 0,68 lei/kWh, cu TVA inclus, în cazul clienților casnici al căror consum mediu lunar realizat la locul de consum în anul 2021 este cuprins între 0-100 KWh </w:t>
            </w:r>
            <w:proofErr w:type="gramStart"/>
            <w:r w:rsidRPr="00F63B7B">
              <w:rPr>
                <w:rFonts w:ascii="Times New Roman" w:eastAsia="Times New Roman" w:hAnsi="Times New Roman" w:cs="Times New Roman"/>
                <w:sz w:val="24"/>
                <w:szCs w:val="24"/>
                <w:lang w:val="fr-FR"/>
              </w:rPr>
              <w:t>inclusiv;</w:t>
            </w:r>
            <w:proofErr w:type="gramEnd"/>
          </w:p>
          <w:p w14:paraId="3B0A90C3"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b) maximum 0,80 lei/kWh, cu TVA inclus, în cazul clienților casnici al căror consum mediu lunar realizat la locul de consum în anul 2021 a fost între 100,01-300 kWh, pentru un consum lunar care este de maximum 255 kWh. Consumul de energie electrică ce depășește 255 KWh/lună se facturează conform prevederilor art. 5 alin. (1</w:t>
            </w:r>
            <w:proofErr w:type="gramStart"/>
            <w:r w:rsidRPr="00F63B7B">
              <w:rPr>
                <w:rFonts w:ascii="Times New Roman" w:eastAsia="Times New Roman" w:hAnsi="Times New Roman" w:cs="Times New Roman"/>
                <w:sz w:val="24"/>
                <w:szCs w:val="24"/>
                <w:lang w:val="fr-FR"/>
              </w:rPr>
              <w:t>);</w:t>
            </w:r>
            <w:proofErr w:type="gramEnd"/>
          </w:p>
          <w:p w14:paraId="1F605425"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lastRenderedPageBreak/>
              <w:t xml:space="preserve">c) maximum 1 leu/kWh, cu TVA inclus, pentru 85% din consumul mediu lunar realizat la locul de consum în anul 2021, în cazul întreprinderilor mici și mijlocii, astfel cum sunt definite în </w:t>
            </w:r>
            <w:hyperlink r:id="rId8">
              <w:r w:rsidRPr="00F63B7B">
                <w:rPr>
                  <w:rFonts w:ascii="Times New Roman" w:eastAsia="Times New Roman" w:hAnsi="Times New Roman" w:cs="Times New Roman"/>
                  <w:sz w:val="24"/>
                  <w:szCs w:val="24"/>
                  <w:lang w:val="fr-FR"/>
                </w:rPr>
                <w:t>Legea nr. 346/2004</w:t>
              </w:r>
            </w:hyperlink>
            <w:r w:rsidRPr="00F63B7B">
              <w:rPr>
                <w:rFonts w:ascii="Times New Roman" w:eastAsia="Times New Roman" w:hAnsi="Times New Roman" w:cs="Times New Roman"/>
                <w:sz w:val="24"/>
                <w:szCs w:val="24"/>
                <w:lang w:val="fr-FR"/>
              </w:rPr>
              <w:t xml:space="preserve"> privind stimularea înființării și dezvoltării întreprinderilor mici și mijlocii, cu modificările și completările ulterioare, denumite în continuare IMM-uri, al operatorilor economici din domeniul industriei alimentare, în baza declarației pe propria răspundere a reprezentantului legal. Diferența de consum lunar de energie electrică se facturează conform prevederilor art. 5 alin. (1</w:t>
            </w:r>
            <w:proofErr w:type="gramStart"/>
            <w:r w:rsidRPr="00F63B7B">
              <w:rPr>
                <w:rFonts w:ascii="Times New Roman" w:eastAsia="Times New Roman" w:hAnsi="Times New Roman" w:cs="Times New Roman"/>
                <w:sz w:val="24"/>
                <w:szCs w:val="24"/>
                <w:lang w:val="fr-FR"/>
              </w:rPr>
              <w:t>);</w:t>
            </w:r>
            <w:proofErr w:type="gramEnd"/>
          </w:p>
          <w:p w14:paraId="4D88D7F9"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d) maximum 1 leu/kWh, cu TVA inclus, pentru consumul integral al spitalelor publice și private definite conform </w:t>
            </w:r>
            <w:hyperlink r:id="rId9">
              <w:r w:rsidRPr="00F63B7B">
                <w:rPr>
                  <w:rFonts w:ascii="Times New Roman" w:eastAsia="Times New Roman" w:hAnsi="Times New Roman" w:cs="Times New Roman"/>
                  <w:sz w:val="24"/>
                  <w:szCs w:val="24"/>
                  <w:lang w:val="fr-FR"/>
                </w:rPr>
                <w:t>Legii nr. 95/2006 privind reforma în domeniul sănătății, republicată</w:t>
              </w:r>
            </w:hyperlink>
            <w:r w:rsidRPr="00F63B7B">
              <w:rPr>
                <w:rFonts w:ascii="Times New Roman" w:eastAsia="Times New Roman" w:hAnsi="Times New Roman" w:cs="Times New Roman"/>
                <w:sz w:val="24"/>
                <w:szCs w:val="24"/>
                <w:lang w:val="fr-FR"/>
              </w:rPr>
              <w:t xml:space="preserve">, cu modificările și completările ulterioare, al unităților de învățământ publice și private, definite conform </w:t>
            </w:r>
            <w:hyperlink r:id="rId10">
              <w:r w:rsidRPr="00F63B7B">
                <w:rPr>
                  <w:rFonts w:ascii="Times New Roman" w:eastAsia="Times New Roman" w:hAnsi="Times New Roman" w:cs="Times New Roman"/>
                  <w:sz w:val="24"/>
                  <w:szCs w:val="24"/>
                  <w:lang w:val="fr-FR"/>
                </w:rPr>
                <w:t>Legii educației naționale nr. 1/2011</w:t>
              </w:r>
            </w:hyperlink>
            <w:r w:rsidRPr="00F63B7B">
              <w:rPr>
                <w:rFonts w:ascii="Times New Roman" w:eastAsia="Times New Roman" w:hAnsi="Times New Roman" w:cs="Times New Roman"/>
                <w:sz w:val="24"/>
                <w:szCs w:val="24"/>
                <w:lang w:val="fr-FR"/>
              </w:rPr>
              <w:t xml:space="preserve">, cu modificările și completările ulterioare, precum și al creșelor, al furnizorilor publici și privați de servicii sociale prevăzute în Nomenclatorul serviciilor sociale, aprobat prin </w:t>
            </w:r>
            <w:hyperlink r:id="rId11">
              <w:r w:rsidRPr="00F63B7B">
                <w:rPr>
                  <w:rFonts w:ascii="Times New Roman" w:eastAsia="Times New Roman" w:hAnsi="Times New Roman" w:cs="Times New Roman"/>
                  <w:sz w:val="24"/>
                  <w:szCs w:val="24"/>
                  <w:lang w:val="fr-FR"/>
                </w:rPr>
                <w:t>Hotărârea Guvernului nr. 867/2015</w:t>
              </w:r>
            </w:hyperlink>
            <w:r w:rsidRPr="00F63B7B">
              <w:rPr>
                <w:rFonts w:ascii="Times New Roman" w:eastAsia="Times New Roman" w:hAnsi="Times New Roman" w:cs="Times New Roman"/>
                <w:sz w:val="24"/>
                <w:szCs w:val="24"/>
                <w:lang w:val="fr-FR"/>
              </w:rPr>
              <w:t xml:space="preserve"> pentru aprobarea Nomenclatorului serviciilor sociale, precum și a regulamentelor-cadru de </w:t>
            </w:r>
            <w:r w:rsidRPr="00F63B7B">
              <w:rPr>
                <w:rFonts w:ascii="Times New Roman" w:eastAsia="Times New Roman" w:hAnsi="Times New Roman" w:cs="Times New Roman"/>
                <w:sz w:val="24"/>
                <w:szCs w:val="24"/>
                <w:lang w:val="fr-FR"/>
              </w:rPr>
              <w:lastRenderedPageBreak/>
              <w:t xml:space="preserve">organizare și funcționare a serviciilor sociale, cu modificările și completările </w:t>
            </w:r>
            <w:proofErr w:type="gramStart"/>
            <w:r w:rsidRPr="00F63B7B">
              <w:rPr>
                <w:rFonts w:ascii="Times New Roman" w:eastAsia="Times New Roman" w:hAnsi="Times New Roman" w:cs="Times New Roman"/>
                <w:sz w:val="24"/>
                <w:szCs w:val="24"/>
                <w:lang w:val="fr-FR"/>
              </w:rPr>
              <w:t>ulterioare;</w:t>
            </w:r>
            <w:proofErr w:type="gramEnd"/>
          </w:p>
          <w:p w14:paraId="15D23EB5"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e) maximum 1 leu/kWh, cu TVA inclus, pentru 85% din consumul mediu lunar, realizat la locul de consum în anul 2021, pentru instituțiile publice, altele decât cele prevăzute la lit. d). Diferența de consum lunar de energie electrică se facturează conform prevederilor art. 5 alin. (1</w:t>
            </w:r>
            <w:proofErr w:type="gramStart"/>
            <w:r w:rsidRPr="00F63B7B">
              <w:rPr>
                <w:rFonts w:ascii="Times New Roman" w:eastAsia="Times New Roman" w:hAnsi="Times New Roman" w:cs="Times New Roman"/>
                <w:sz w:val="24"/>
                <w:szCs w:val="24"/>
                <w:lang w:val="fr-FR"/>
              </w:rPr>
              <w:t>);</w:t>
            </w:r>
            <w:proofErr w:type="gramEnd"/>
          </w:p>
          <w:p w14:paraId="3DBC51AA"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f) pentru beneficiarii prevăzuți la lit. c) și e) </w:t>
            </w:r>
            <w:proofErr w:type="gramStart"/>
            <w:r w:rsidRPr="00F63B7B">
              <w:rPr>
                <w:rFonts w:ascii="Times New Roman" w:eastAsia="Times New Roman" w:hAnsi="Times New Roman" w:cs="Times New Roman"/>
                <w:sz w:val="24"/>
                <w:szCs w:val="24"/>
                <w:lang w:val="fr-FR"/>
              </w:rPr>
              <w:t>care nu</w:t>
            </w:r>
            <w:proofErr w:type="gramEnd"/>
            <w:r w:rsidRPr="00F63B7B">
              <w:rPr>
                <w:rFonts w:ascii="Times New Roman" w:eastAsia="Times New Roman" w:hAnsi="Times New Roman" w:cs="Times New Roman"/>
                <w:sz w:val="24"/>
                <w:szCs w:val="24"/>
                <w:lang w:val="fr-FR"/>
              </w:rPr>
              <w:t xml:space="preserve"> au istoric de consum în anul 2021, procentul de 85% se aplică la consumul realizat lunar.</w:t>
            </w:r>
          </w:p>
          <w:p w14:paraId="7C95AB2A"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(2) Prin derogare de la prevederile </w:t>
            </w:r>
            <w:hyperlink r:id="rId12">
              <w:r w:rsidRPr="00F63B7B">
                <w:rPr>
                  <w:rFonts w:ascii="Times New Roman" w:eastAsia="Times New Roman" w:hAnsi="Times New Roman" w:cs="Times New Roman"/>
                  <w:sz w:val="24"/>
                  <w:szCs w:val="24"/>
                  <w:lang w:val="fr-FR"/>
                </w:rPr>
                <w:t>art. 180 alin. (1) din Legea nr. 123/2012</w:t>
              </w:r>
            </w:hyperlink>
            <w:r w:rsidRPr="00F63B7B">
              <w:rPr>
                <w:rFonts w:ascii="Times New Roman" w:eastAsia="Times New Roman" w:hAnsi="Times New Roman" w:cs="Times New Roman"/>
                <w:sz w:val="24"/>
                <w:szCs w:val="24"/>
                <w:lang w:val="fr-FR"/>
              </w:rPr>
              <w:t xml:space="preserve">, cu modificările și completările ulterioare, pentru consumul realizat în perioada 1 aprilie 2022-31 august 2023, prețul final facturat de către furnizorii de gaze naturale </w:t>
            </w:r>
            <w:proofErr w:type="gramStart"/>
            <w:r w:rsidRPr="00F63B7B">
              <w:rPr>
                <w:rFonts w:ascii="Times New Roman" w:eastAsia="Times New Roman" w:hAnsi="Times New Roman" w:cs="Times New Roman"/>
                <w:sz w:val="24"/>
                <w:szCs w:val="24"/>
                <w:lang w:val="fr-FR"/>
              </w:rPr>
              <w:t>este:</w:t>
            </w:r>
            <w:proofErr w:type="gramEnd"/>
          </w:p>
          <w:p w14:paraId="14D4643E" w14:textId="77777777" w:rsidR="00EB3DB1" w:rsidRDefault="00000000">
            <w:pPr>
              <w:spacing w:after="0" w:line="3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maximum 0,31 lei/kWh, cu TVA inclus, în cazul clienților </w:t>
            </w:r>
            <w:proofErr w:type="gramStart"/>
            <w:r>
              <w:rPr>
                <w:rFonts w:ascii="Times New Roman" w:eastAsia="Times New Roman" w:hAnsi="Times New Roman" w:cs="Times New Roman"/>
                <w:sz w:val="24"/>
                <w:szCs w:val="24"/>
              </w:rPr>
              <w:t>casnici;</w:t>
            </w:r>
            <w:proofErr w:type="gramEnd"/>
          </w:p>
          <w:p w14:paraId="33166D46" w14:textId="77777777" w:rsidR="00EB3DB1" w:rsidRDefault="00000000">
            <w:pPr>
              <w:spacing w:after="0" w:line="3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maximum 0,37 lei/kWh, cu TVA inclus, în cazul clienților noncasnici al căror consum anual de gaze naturale realizat în anul 2021 la locul de consum este de cel mult 50.000 MWh, precum și în cazul producătorilor de energie termică.</w:t>
            </w:r>
          </w:p>
          <w:p w14:paraId="7E6AEC98" w14:textId="77777777" w:rsidR="00EB3DB1" w:rsidRDefault="00000000">
            <w:pPr>
              <w:spacing w:after="0" w:line="3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Prețul final facturat prevăzut la alin. (1) lit. a) și b) se aplică și în cazul locurilor de consum ale clienților casnici </w:t>
            </w:r>
            <w:r>
              <w:rPr>
                <w:rFonts w:ascii="Times New Roman" w:eastAsia="Times New Roman" w:hAnsi="Times New Roman" w:cs="Times New Roman"/>
                <w:sz w:val="24"/>
                <w:szCs w:val="24"/>
              </w:rPr>
              <w:lastRenderedPageBreak/>
              <w:t>racordate începând cu data de 1 ianuarie 2022 sau pentru clienții casnici care nu au istoric în anul 2021 la furnizor, prin raportare la consumul lunar realizat.</w:t>
            </w:r>
          </w:p>
          <w:p w14:paraId="67037F13"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(4) Prețul final facturat prevăzut la alin. (2) lit. b) se aplică și în cazul locurilor de consum ale clienților noncasnici racordate începând cu data de 1 ianuarie 2022.</w:t>
            </w:r>
          </w:p>
          <w:p w14:paraId="0C2EDF7C"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(5) Prin excepție de la prevederile alin. (1), în cazul locurilor de consum ale clienților casnici dintr-un condominiu, racordate printr-o instalație comună cu un singur contor de măsurare, pentru încadrarea în tranșele de consum prevăzute la alin. (1) lit. a) și b), consumul fiecărui proprietar se determină prin împărțirea consumului total al asociației de proprietari/locatari înregistrat în anul 2021, respectiv 2022 în situația prevăzută la alin. (8), la 12, respectiv la numărul de luni de consum și la numărul de spații locative care fac parte din respectivul condominiu.</w:t>
            </w:r>
          </w:p>
          <w:p w14:paraId="7D405AE1"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(6) Pentru calcul la fiecare spațiu locativ din condominiu, consumul de gaze naturale/energie electrică se determină prin împărțirea consumului total anual al asociației de proprietari/ locatari la numărul de spații locative care fac parte din respectivul condominiu.</w:t>
            </w:r>
          </w:p>
          <w:p w14:paraId="28EB6AD7" w14:textId="77777777" w:rsidR="00EB3DB1" w:rsidRDefault="00000000">
            <w:pPr>
              <w:spacing w:after="0" w:line="379" w:lineRule="auto"/>
              <w:jc w:val="both"/>
              <w:rPr>
                <w:rFonts w:ascii="Times New Roman" w:eastAsia="Times New Roman" w:hAnsi="Times New Roman" w:cs="Times New Roman"/>
                <w:sz w:val="24"/>
                <w:szCs w:val="24"/>
              </w:rPr>
            </w:pPr>
            <w:r w:rsidRPr="00F63B7B">
              <w:rPr>
                <w:rFonts w:ascii="Times New Roman" w:eastAsia="Times New Roman" w:hAnsi="Times New Roman" w:cs="Times New Roman"/>
                <w:sz w:val="24"/>
                <w:szCs w:val="24"/>
                <w:lang w:val="fr-FR"/>
              </w:rPr>
              <w:t xml:space="preserve">(7) În cazul cartierelor de tip rezidențial pentru care furnizorii au încheiate contracte de furnizare cu primăriile, </w:t>
            </w:r>
            <w:r w:rsidRPr="00F63B7B">
              <w:rPr>
                <w:rFonts w:ascii="Times New Roman" w:eastAsia="Times New Roman" w:hAnsi="Times New Roman" w:cs="Times New Roman"/>
                <w:sz w:val="24"/>
                <w:szCs w:val="24"/>
                <w:lang w:val="fr-FR"/>
              </w:rPr>
              <w:lastRenderedPageBreak/>
              <w:t xml:space="preserve">respectiv dezvoltatorii imobiliari/asociațiile de proprietari ale dezvoltărilor imobiliare, iar locurile de consum ale clienților casnici sunt facturate la comun printr-o singură factură, pentru determinarea consumului aferent respectivelor contracte și împărțirea la nivelul beneficiarilor consumatori casnici sunt aplicabile dispozițiile alin. </w:t>
            </w:r>
            <w:r>
              <w:rPr>
                <w:rFonts w:ascii="Times New Roman" w:eastAsia="Times New Roman" w:hAnsi="Times New Roman" w:cs="Times New Roman"/>
                <w:sz w:val="24"/>
                <w:szCs w:val="24"/>
              </w:rPr>
              <w:t>(5) și (6).</w:t>
            </w:r>
          </w:p>
          <w:p w14:paraId="6A6E92BE"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(8) În cazul clienților casnici care nu pot beneficia de prevederile alin. </w:t>
            </w:r>
            <w:r w:rsidRPr="00F63B7B">
              <w:rPr>
                <w:rFonts w:ascii="Times New Roman" w:eastAsia="Times New Roman" w:hAnsi="Times New Roman" w:cs="Times New Roman"/>
                <w:sz w:val="24"/>
                <w:szCs w:val="24"/>
                <w:lang w:val="fr-FR"/>
              </w:rPr>
              <w:t>(1) lit. a) și b) în funcție de consumul anului 2021, dar al căror consum înregistrat în anul 2022 se încadrează în oricare din tranșele de consum prevăzute la alin. (1) lit. a) și b), precum și în cazul clienților casnici și noncasnici racordați începând cu data de 1 ianuarie 2022, furnizorii emit în luna februarie 2023 facturi de regularizare a consumului facturat anterior aferent perioadei de aplicare a prezentei ordonanțe de urgență, utilizând prețul final conform tranșei aferente de consum, și facturează consumul înregistrat după data reîncadrării la prețul final corespunzător tranșei de consum. În cazul schimbării furnizorului în perioada de aplicare a prevederilor prezentei ordonanțe de urgență, regularizarea se face de către furnizorul actual doar pentru perioada aplicării contractului de furnizare încheiat cu acesta.</w:t>
            </w:r>
          </w:p>
          <w:p w14:paraId="2F007EA8"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lastRenderedPageBreak/>
              <w:t xml:space="preserve">(9) Valorile și tranșele prevăzute la alin. (1) și (2) vor putea fi modificate prin hotărâre a Guvernului, inițiată în conformitate cu dispozițiile </w:t>
            </w:r>
            <w:hyperlink r:id="rId13">
              <w:r w:rsidRPr="00F63B7B">
                <w:rPr>
                  <w:rFonts w:ascii="Times New Roman" w:eastAsia="Times New Roman" w:hAnsi="Times New Roman" w:cs="Times New Roman"/>
                  <w:sz w:val="24"/>
                  <w:szCs w:val="24"/>
                  <w:lang w:val="fr-FR"/>
                </w:rPr>
                <w:t>art. 80</w:t>
              </w:r>
            </w:hyperlink>
            <w:r w:rsidRPr="00F63B7B">
              <w:rPr>
                <w:rFonts w:ascii="Times New Roman" w:eastAsia="Times New Roman" w:hAnsi="Times New Roman" w:cs="Times New Roman"/>
                <w:sz w:val="24"/>
                <w:szCs w:val="24"/>
                <w:lang w:val="fr-FR"/>
              </w:rPr>
              <w:t xml:space="preserve"> și </w:t>
            </w:r>
            <w:hyperlink r:id="rId14">
              <w:r w:rsidRPr="00F63B7B">
                <w:rPr>
                  <w:rFonts w:ascii="Times New Roman" w:eastAsia="Times New Roman" w:hAnsi="Times New Roman" w:cs="Times New Roman"/>
                  <w:sz w:val="24"/>
                  <w:szCs w:val="24"/>
                  <w:lang w:val="fr-FR"/>
                </w:rPr>
                <w:t>180 din Legea nr. 123/2012</w:t>
              </w:r>
            </w:hyperlink>
            <w:r w:rsidRPr="00F63B7B">
              <w:rPr>
                <w:rFonts w:ascii="Times New Roman" w:eastAsia="Times New Roman" w:hAnsi="Times New Roman" w:cs="Times New Roman"/>
                <w:sz w:val="24"/>
                <w:szCs w:val="24"/>
                <w:lang w:val="fr-FR"/>
              </w:rPr>
              <w:t>, cu modificările și completările ulterioare, în funcție de evoluțiile înregistrate pe piețele interne și internaționale de energie electrică și gaze naturale și de evoluția geopolitică din vecinătatea României.</w:t>
            </w:r>
          </w:p>
        </w:tc>
        <w:tc>
          <w:tcPr>
            <w:tcW w:w="6237" w:type="dxa"/>
          </w:tcPr>
          <w:p w14:paraId="4107C1A2" w14:textId="77777777" w:rsidR="00EB3DB1" w:rsidRPr="00F63B7B" w:rsidRDefault="00000000">
            <w:pPr>
              <w:spacing w:before="60" w:after="0" w:line="379" w:lineRule="auto"/>
              <w:ind w:left="120" w:right="100"/>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lastRenderedPageBreak/>
              <w:t xml:space="preserve">Art. 1. </w:t>
            </w:r>
            <w:proofErr w:type="gramStart"/>
            <w:r w:rsidRPr="00F63B7B">
              <w:rPr>
                <w:rFonts w:ascii="Times New Roman" w:eastAsia="Times New Roman" w:hAnsi="Times New Roman" w:cs="Times New Roman"/>
                <w:sz w:val="24"/>
                <w:szCs w:val="24"/>
                <w:lang w:val="fr-FR"/>
              </w:rPr>
              <w:t>se</w:t>
            </w:r>
            <w:proofErr w:type="gramEnd"/>
            <w:r w:rsidRPr="00F63B7B">
              <w:rPr>
                <w:rFonts w:ascii="Times New Roman" w:eastAsia="Times New Roman" w:hAnsi="Times New Roman" w:cs="Times New Roman"/>
                <w:sz w:val="24"/>
                <w:szCs w:val="24"/>
                <w:lang w:val="fr-FR"/>
              </w:rPr>
              <w:t xml:space="preserve"> modifică și va avea următorul cuprins:</w:t>
            </w:r>
          </w:p>
          <w:p w14:paraId="619C2C15"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(1) Prin derogare de la prevederile </w:t>
            </w:r>
            <w:hyperlink r:id="rId15">
              <w:r w:rsidRPr="00F63B7B">
                <w:rPr>
                  <w:rFonts w:ascii="Times New Roman" w:eastAsia="Times New Roman" w:hAnsi="Times New Roman" w:cs="Times New Roman"/>
                  <w:sz w:val="24"/>
                  <w:szCs w:val="24"/>
                  <w:lang w:val="fr-FR"/>
                </w:rPr>
                <w:t>art. 80 alin. (2) din Legea energiei electrice și a gazelor naturale nr. 123/2012</w:t>
              </w:r>
            </w:hyperlink>
            <w:r w:rsidRPr="00F63B7B">
              <w:rPr>
                <w:rFonts w:ascii="Times New Roman" w:eastAsia="Times New Roman" w:hAnsi="Times New Roman" w:cs="Times New Roman"/>
                <w:sz w:val="24"/>
                <w:szCs w:val="24"/>
                <w:lang w:val="fr-FR"/>
              </w:rPr>
              <w:t xml:space="preserve">, cu modificările și completările ulterioare, pentru consumul realizat în perioada 1 septembrie 2022-31 august 2023, prețul final facturat plafonat de către furnizorii de energie electrică </w:t>
            </w:r>
            <w:proofErr w:type="gramStart"/>
            <w:r w:rsidRPr="00F63B7B">
              <w:rPr>
                <w:rFonts w:ascii="Times New Roman" w:eastAsia="Times New Roman" w:hAnsi="Times New Roman" w:cs="Times New Roman"/>
                <w:sz w:val="24"/>
                <w:szCs w:val="24"/>
                <w:lang w:val="fr-FR"/>
              </w:rPr>
              <w:t>este:</w:t>
            </w:r>
            <w:proofErr w:type="gramEnd"/>
          </w:p>
          <w:p w14:paraId="3F53FF5D" w14:textId="77777777" w:rsidR="00EB3DB1" w:rsidRPr="00F63B7B" w:rsidRDefault="00000000">
            <w:pPr>
              <w:spacing w:after="0" w:line="379"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a) maximum 0,68 lei/kWh, cu TVA inclus, în cazul clienților casnici, pentru consumul lunar cuprins între 0 – 100 kWh inclusiv</w:t>
            </w:r>
          </w:p>
          <w:p w14:paraId="1478758B" w14:textId="77777777" w:rsidR="00EB3DB1" w:rsidRPr="00F63B7B" w:rsidRDefault="00000000">
            <w:pPr>
              <w:spacing w:after="0" w:line="379"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b) maximum 0,80 lei/kWh, cu TVA inclus, în cazul clienților casnici, pentru consumul lunar cuprins între 101 – 255 kWh inclusiv. Consumul de energie electrică ce depășește 255 KWh/lună se facturează conform prevederilor art. 5 alin. (1</w:t>
            </w:r>
            <w:proofErr w:type="gramStart"/>
            <w:r w:rsidRPr="00F63B7B">
              <w:rPr>
                <w:rFonts w:ascii="Times New Roman" w:eastAsia="Times New Roman" w:hAnsi="Times New Roman" w:cs="Times New Roman"/>
                <w:b/>
                <w:sz w:val="24"/>
                <w:szCs w:val="24"/>
                <w:lang w:val="fr-FR"/>
              </w:rPr>
              <w:t>);</w:t>
            </w:r>
            <w:proofErr w:type="gramEnd"/>
          </w:p>
          <w:p w14:paraId="6C421868"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lastRenderedPageBreak/>
              <w:t xml:space="preserve">c) maximum 1 leu/kWh, cu TVA inclus, pentru 85% din consumul mediu lunar realizat la locul de consum în anul 2021, în cazul întreprinderilor mici și mijlocii, astfel cum sunt definite în </w:t>
            </w:r>
            <w:hyperlink r:id="rId16">
              <w:r w:rsidRPr="00F63B7B">
                <w:rPr>
                  <w:rFonts w:ascii="Times New Roman" w:eastAsia="Times New Roman" w:hAnsi="Times New Roman" w:cs="Times New Roman"/>
                  <w:sz w:val="24"/>
                  <w:szCs w:val="24"/>
                  <w:lang w:val="fr-FR"/>
                </w:rPr>
                <w:t>Legea nr. 346/2004</w:t>
              </w:r>
            </w:hyperlink>
            <w:r w:rsidRPr="00F63B7B">
              <w:rPr>
                <w:rFonts w:ascii="Times New Roman" w:eastAsia="Times New Roman" w:hAnsi="Times New Roman" w:cs="Times New Roman"/>
                <w:sz w:val="24"/>
                <w:szCs w:val="24"/>
                <w:lang w:val="fr-FR"/>
              </w:rPr>
              <w:t xml:space="preserve"> privind stimularea înființării și dezvoltării întreprinderilor mici și mijlocii, cu modificările și completările ulterioare, denumite în continuare IMM-uri, al operatorilor economici din domeniul industriei alimentare, în baza declarației pe propria răspundere a reprezentantului legal. Diferența de consum lunar de energie electrică se facturează conform prevederilor art. 5 alin. (1</w:t>
            </w:r>
            <w:proofErr w:type="gramStart"/>
            <w:r w:rsidRPr="00F63B7B">
              <w:rPr>
                <w:rFonts w:ascii="Times New Roman" w:eastAsia="Times New Roman" w:hAnsi="Times New Roman" w:cs="Times New Roman"/>
                <w:sz w:val="24"/>
                <w:szCs w:val="24"/>
                <w:lang w:val="fr-FR"/>
              </w:rPr>
              <w:t>);</w:t>
            </w:r>
            <w:proofErr w:type="gramEnd"/>
          </w:p>
          <w:p w14:paraId="3EAF2F7D"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d) maximum 1 leu/kWh, cu TVA inclus, pentru consumul integral al spitalelor publice și private definite conform </w:t>
            </w:r>
            <w:hyperlink r:id="rId17">
              <w:r w:rsidRPr="00F63B7B">
                <w:rPr>
                  <w:rFonts w:ascii="Times New Roman" w:eastAsia="Times New Roman" w:hAnsi="Times New Roman" w:cs="Times New Roman"/>
                  <w:sz w:val="24"/>
                  <w:szCs w:val="24"/>
                  <w:lang w:val="fr-FR"/>
                </w:rPr>
                <w:t>Legii nr. 95/2006 privind reforma în domeniul sănătății, republicată</w:t>
              </w:r>
            </w:hyperlink>
            <w:r w:rsidRPr="00F63B7B">
              <w:rPr>
                <w:rFonts w:ascii="Times New Roman" w:eastAsia="Times New Roman" w:hAnsi="Times New Roman" w:cs="Times New Roman"/>
                <w:sz w:val="24"/>
                <w:szCs w:val="24"/>
                <w:lang w:val="fr-FR"/>
              </w:rPr>
              <w:t xml:space="preserve">, cu modificările și completările ulterioare, al unităților de învățământ publice și private, definite conform </w:t>
            </w:r>
            <w:hyperlink r:id="rId18">
              <w:r w:rsidRPr="00F63B7B">
                <w:rPr>
                  <w:rFonts w:ascii="Times New Roman" w:eastAsia="Times New Roman" w:hAnsi="Times New Roman" w:cs="Times New Roman"/>
                  <w:sz w:val="24"/>
                  <w:szCs w:val="24"/>
                  <w:lang w:val="fr-FR"/>
                </w:rPr>
                <w:t>Legii educației naționale nr. 1/2011</w:t>
              </w:r>
            </w:hyperlink>
            <w:r w:rsidRPr="00F63B7B">
              <w:rPr>
                <w:rFonts w:ascii="Times New Roman" w:eastAsia="Times New Roman" w:hAnsi="Times New Roman" w:cs="Times New Roman"/>
                <w:sz w:val="24"/>
                <w:szCs w:val="24"/>
                <w:lang w:val="fr-FR"/>
              </w:rPr>
              <w:t xml:space="preserve">, cu modificările și completările ulterioare, precum și al creșelor, al furnizorilor publici și privați de servicii sociale prevăzute în Nomenclatorul serviciilor sociale, aprobat prin </w:t>
            </w:r>
            <w:hyperlink r:id="rId19">
              <w:r w:rsidRPr="00F63B7B">
                <w:rPr>
                  <w:rFonts w:ascii="Times New Roman" w:eastAsia="Times New Roman" w:hAnsi="Times New Roman" w:cs="Times New Roman"/>
                  <w:sz w:val="24"/>
                  <w:szCs w:val="24"/>
                  <w:lang w:val="fr-FR"/>
                </w:rPr>
                <w:t>Hotărârea Guvernului nr. 867/2015</w:t>
              </w:r>
            </w:hyperlink>
            <w:r w:rsidRPr="00F63B7B">
              <w:rPr>
                <w:rFonts w:ascii="Times New Roman" w:eastAsia="Times New Roman" w:hAnsi="Times New Roman" w:cs="Times New Roman"/>
                <w:sz w:val="24"/>
                <w:szCs w:val="24"/>
                <w:lang w:val="fr-FR"/>
              </w:rPr>
              <w:t xml:space="preserve"> pentru aprobarea Nomenclatorului serviciilor sociale, precum și a regulamentelor-cadru de organizare și funcționare a serviciilor sociale, cu modificările și completările </w:t>
            </w:r>
            <w:proofErr w:type="gramStart"/>
            <w:r w:rsidRPr="00F63B7B">
              <w:rPr>
                <w:rFonts w:ascii="Times New Roman" w:eastAsia="Times New Roman" w:hAnsi="Times New Roman" w:cs="Times New Roman"/>
                <w:sz w:val="24"/>
                <w:szCs w:val="24"/>
                <w:lang w:val="fr-FR"/>
              </w:rPr>
              <w:t>ulterioare;</w:t>
            </w:r>
            <w:proofErr w:type="gramEnd"/>
          </w:p>
          <w:p w14:paraId="61BDA2DA" w14:textId="7F55C7E5"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lastRenderedPageBreak/>
              <w:t>e) maximum 1 leu/kWh, cu TVA inclus, pentru 85% din consumul mediu lunar, realizat la locul de consum în anul 2021, pentru instituțiile publice, altele decât cele prevăzute la lit. d)</w:t>
            </w:r>
            <w:r w:rsidR="00F63B7B">
              <w:rPr>
                <w:rFonts w:ascii="Times New Roman" w:eastAsia="Times New Roman" w:hAnsi="Times New Roman" w:cs="Times New Roman"/>
                <w:sz w:val="24"/>
                <w:szCs w:val="24"/>
                <w:lang w:val="fr-FR"/>
              </w:rPr>
              <w:t>,</w:t>
            </w:r>
            <w:r w:rsidR="00F63B7B" w:rsidRPr="00F63B7B">
              <w:rPr>
                <w:rFonts w:ascii="Times New Roman" w:eastAsia="Times New Roman" w:hAnsi="Times New Roman" w:cs="Times New Roman"/>
                <w:sz w:val="24"/>
                <w:szCs w:val="24"/>
                <w:lang w:val="fr-FR"/>
              </w:rPr>
              <w:t xml:space="preserve"> </w:t>
            </w:r>
            <w:r w:rsidR="00F63B7B" w:rsidRPr="00F63B7B">
              <w:rPr>
                <w:rFonts w:ascii="Times New Roman" w:eastAsia="Times New Roman" w:hAnsi="Times New Roman" w:cs="Times New Roman"/>
                <w:b/>
                <w:bCs/>
                <w:sz w:val="24"/>
                <w:szCs w:val="24"/>
                <w:lang w:val="fr-FR"/>
              </w:rPr>
              <w:t>precum și pentru lăcașurile de cult recunoscute oficial în România, potrivit Legii 489/2006 privind libertatea religioasă</w:t>
            </w:r>
            <w:r w:rsidR="00F63B7B" w:rsidRPr="00F63B7B">
              <w:rPr>
                <w:rFonts w:ascii="Times New Roman" w:eastAsia="Times New Roman" w:hAnsi="Times New Roman" w:cs="Times New Roman"/>
                <w:sz w:val="24"/>
                <w:szCs w:val="24"/>
                <w:lang w:val="fr-FR"/>
              </w:rPr>
              <w:t>.</w:t>
            </w:r>
            <w:r w:rsidRPr="00F63B7B">
              <w:rPr>
                <w:rFonts w:ascii="Times New Roman" w:eastAsia="Times New Roman" w:hAnsi="Times New Roman" w:cs="Times New Roman"/>
                <w:sz w:val="24"/>
                <w:szCs w:val="24"/>
                <w:lang w:val="fr-FR"/>
              </w:rPr>
              <w:t xml:space="preserve"> Diferența de consum lunar de energie electrică se facturează conform prevederilor art. 5 alin. (1</w:t>
            </w:r>
            <w:proofErr w:type="gramStart"/>
            <w:r w:rsidRPr="00F63B7B">
              <w:rPr>
                <w:rFonts w:ascii="Times New Roman" w:eastAsia="Times New Roman" w:hAnsi="Times New Roman" w:cs="Times New Roman"/>
                <w:sz w:val="24"/>
                <w:szCs w:val="24"/>
                <w:lang w:val="fr-FR"/>
              </w:rPr>
              <w:t>);</w:t>
            </w:r>
            <w:proofErr w:type="gramEnd"/>
          </w:p>
          <w:p w14:paraId="431D7A3C"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f) pentru beneficiarii prevăzuți la lit. c) și e) </w:t>
            </w:r>
            <w:proofErr w:type="gramStart"/>
            <w:r w:rsidRPr="00F63B7B">
              <w:rPr>
                <w:rFonts w:ascii="Times New Roman" w:eastAsia="Times New Roman" w:hAnsi="Times New Roman" w:cs="Times New Roman"/>
                <w:sz w:val="24"/>
                <w:szCs w:val="24"/>
                <w:lang w:val="fr-FR"/>
              </w:rPr>
              <w:t>care nu</w:t>
            </w:r>
            <w:proofErr w:type="gramEnd"/>
            <w:r w:rsidRPr="00F63B7B">
              <w:rPr>
                <w:rFonts w:ascii="Times New Roman" w:eastAsia="Times New Roman" w:hAnsi="Times New Roman" w:cs="Times New Roman"/>
                <w:sz w:val="24"/>
                <w:szCs w:val="24"/>
                <w:lang w:val="fr-FR"/>
              </w:rPr>
              <w:t xml:space="preserve"> au istoric de consum în anul 2021, procentul de 85% se aplică la consumul realizat lunar.</w:t>
            </w:r>
          </w:p>
          <w:p w14:paraId="5CE71EFF"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(2) Prin derogare de la prevederile </w:t>
            </w:r>
            <w:hyperlink r:id="rId20">
              <w:r w:rsidRPr="00F63B7B">
                <w:rPr>
                  <w:rFonts w:ascii="Times New Roman" w:eastAsia="Times New Roman" w:hAnsi="Times New Roman" w:cs="Times New Roman"/>
                  <w:sz w:val="24"/>
                  <w:szCs w:val="24"/>
                  <w:lang w:val="fr-FR"/>
                </w:rPr>
                <w:t>art. 180 alin. (1) din Legea nr. 123/2012</w:t>
              </w:r>
            </w:hyperlink>
            <w:r w:rsidRPr="00F63B7B">
              <w:rPr>
                <w:rFonts w:ascii="Times New Roman" w:eastAsia="Times New Roman" w:hAnsi="Times New Roman" w:cs="Times New Roman"/>
                <w:sz w:val="24"/>
                <w:szCs w:val="24"/>
                <w:lang w:val="fr-FR"/>
              </w:rPr>
              <w:t xml:space="preserve">, cu modificările și completările ulterioare, pentru consumul realizat în perioada 1 aprilie 2022-31 august 2023, prețul final facturat de către furnizorii de gaze naturale </w:t>
            </w:r>
            <w:proofErr w:type="gramStart"/>
            <w:r w:rsidRPr="00F63B7B">
              <w:rPr>
                <w:rFonts w:ascii="Times New Roman" w:eastAsia="Times New Roman" w:hAnsi="Times New Roman" w:cs="Times New Roman"/>
                <w:sz w:val="24"/>
                <w:szCs w:val="24"/>
                <w:lang w:val="fr-FR"/>
              </w:rPr>
              <w:t>este:</w:t>
            </w:r>
            <w:proofErr w:type="gramEnd"/>
          </w:p>
          <w:p w14:paraId="299CF641" w14:textId="77777777" w:rsidR="00EB3DB1" w:rsidRDefault="00000000">
            <w:pPr>
              <w:spacing w:after="0" w:line="3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maximum 0,31 lei/kWh, cu TVA inclus, în cazul clienților </w:t>
            </w:r>
            <w:proofErr w:type="gramStart"/>
            <w:r>
              <w:rPr>
                <w:rFonts w:ascii="Times New Roman" w:eastAsia="Times New Roman" w:hAnsi="Times New Roman" w:cs="Times New Roman"/>
                <w:sz w:val="24"/>
                <w:szCs w:val="24"/>
              </w:rPr>
              <w:t>casnici;</w:t>
            </w:r>
            <w:proofErr w:type="gramEnd"/>
          </w:p>
          <w:p w14:paraId="059FD862" w14:textId="77777777" w:rsidR="00EB3DB1" w:rsidRDefault="00000000">
            <w:pPr>
              <w:spacing w:after="0" w:line="3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maximum 0,37 lei/kWh, cu TVA inclus, în cazul clienților noncasnici al căror consum anual de gaze naturale realizat în anul 2021 la locul de consum este de cel mult 50.000 MWh, precum și în cazul producătorilor de energie termică.</w:t>
            </w:r>
          </w:p>
          <w:p w14:paraId="603CE6FD" w14:textId="77777777" w:rsidR="00EB3DB1" w:rsidRDefault="00000000">
            <w:pPr>
              <w:spacing w:after="0" w:line="37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Prețul final facturat prevăzut la alin. (1) lit. a) și b) se aplică și în cazul locurilor de consum ale clienților casnici racordate începând cu data de 1 ianuarie 2022 sau pentru clienții casnici </w:t>
            </w:r>
            <w:r>
              <w:rPr>
                <w:rFonts w:ascii="Times New Roman" w:eastAsia="Times New Roman" w:hAnsi="Times New Roman" w:cs="Times New Roman"/>
                <w:sz w:val="24"/>
                <w:szCs w:val="24"/>
              </w:rPr>
              <w:lastRenderedPageBreak/>
              <w:t>care nu au istoric în anul 2021 la furnizor, prin raportare la consumul lunar realizat.</w:t>
            </w:r>
          </w:p>
          <w:p w14:paraId="1B766B61"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(4) Prețul final facturat prevăzut la alin. (2) lit. b) se aplică și în cazul locurilor de consum ale clienților noncasnici racordate începând cu data de 1 ianuarie 2022.</w:t>
            </w:r>
          </w:p>
          <w:p w14:paraId="29021832"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(5) Prin excepție de la prevederile alin. (1), în cazul locurilor de consum ale clienților casnici dintr-un condominiu, racordate printr-o instalație comună cu un singur contor de măsurare, pentru încadrarea în tranșele de consum prevăzute la alin. (1) lit. a) și b), consumul fiecărui proprietar se determină prin împărțirea consumului total al asociației de proprietari/locatari înregistrat în anul 2021, respectiv 2022 în situația prevăzută la alin. (8), la 12, respectiv la numărul de luni de consum și la numărul de spații locative care fac parte din respectivul condominiu.</w:t>
            </w:r>
          </w:p>
          <w:p w14:paraId="5066F33B"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(6) Pentru calcul la fiecare spațiu locativ din condominiu, consumul de gaze naturale/energie electrică se determină prin împărțirea consumului total anual al asociației de proprietari/ locatari la numărul de spații locative care fac parte din respectivul condominiu.</w:t>
            </w:r>
          </w:p>
          <w:p w14:paraId="188DF9B3" w14:textId="77777777" w:rsidR="00EB3DB1" w:rsidRDefault="00000000">
            <w:pPr>
              <w:spacing w:after="0" w:line="379" w:lineRule="auto"/>
              <w:jc w:val="both"/>
              <w:rPr>
                <w:rFonts w:ascii="Times New Roman" w:eastAsia="Times New Roman" w:hAnsi="Times New Roman" w:cs="Times New Roman"/>
                <w:sz w:val="24"/>
                <w:szCs w:val="24"/>
              </w:rPr>
            </w:pPr>
            <w:r w:rsidRPr="00F63B7B">
              <w:rPr>
                <w:rFonts w:ascii="Times New Roman" w:eastAsia="Times New Roman" w:hAnsi="Times New Roman" w:cs="Times New Roman"/>
                <w:sz w:val="24"/>
                <w:szCs w:val="24"/>
                <w:lang w:val="fr-FR"/>
              </w:rPr>
              <w:t xml:space="preserve">(7) În cazul cartierelor de tip rezidențial pentru care furnizorii au încheiate contracte de furnizare cu primăriile, respectiv dezvoltatorii imobiliari/asociațiile de proprietari ale </w:t>
            </w:r>
            <w:r w:rsidRPr="00F63B7B">
              <w:rPr>
                <w:rFonts w:ascii="Times New Roman" w:eastAsia="Times New Roman" w:hAnsi="Times New Roman" w:cs="Times New Roman"/>
                <w:sz w:val="24"/>
                <w:szCs w:val="24"/>
                <w:lang w:val="fr-FR"/>
              </w:rPr>
              <w:lastRenderedPageBreak/>
              <w:t xml:space="preserve">dezvoltărilor imobiliare, iar locurile de consum ale clienților casnici sunt facturate la comun printr-o singură factură, pentru determinarea consumului aferent respectivelor contracte și împărțirea la nivelul beneficiarilor consumatori casnici sunt aplicabile dispozițiile alin. </w:t>
            </w:r>
            <w:r>
              <w:rPr>
                <w:rFonts w:ascii="Times New Roman" w:eastAsia="Times New Roman" w:hAnsi="Times New Roman" w:cs="Times New Roman"/>
                <w:sz w:val="24"/>
                <w:szCs w:val="24"/>
              </w:rPr>
              <w:t>(5) și (6).</w:t>
            </w:r>
          </w:p>
          <w:p w14:paraId="19B104A6"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(8) În cazul clienților casnici care nu pot beneficia de prevederile alin. </w:t>
            </w:r>
            <w:r w:rsidRPr="00F63B7B">
              <w:rPr>
                <w:rFonts w:ascii="Times New Roman" w:eastAsia="Times New Roman" w:hAnsi="Times New Roman" w:cs="Times New Roman"/>
                <w:sz w:val="24"/>
                <w:szCs w:val="24"/>
                <w:lang w:val="fr-FR"/>
              </w:rPr>
              <w:t>(1) lit. a) și b) în funcție de consumul anului 2021, dar al căror consum înregistrat în anul 2022 se încadrează în oricare din tranșele de consum prevăzute la alin. (1) lit. a) și b), precum și în cazul clienților casnici și noncasnici racordați începând cu data de 1 ianuarie 2022, furnizorii emit în luna februarie 2023 facturi de regularizare a consumului facturat anterior aferent perioadei de aplicare a prezentei ordonanțe de urgență, utilizând prețul final conform tranșei aferente de consum, și facturează consumul înregistrat după data reîncadrării la prețul final corespunzător tranșei de consum. În cazul schimbării furnizorului în perioada de aplicare a prevederilor prezentei ordonanțe de urgență, regularizarea se face de către furnizorul actual doar pentru perioada aplicării contractului de furnizare încheiat cu acesta.</w:t>
            </w:r>
          </w:p>
          <w:p w14:paraId="370C05C2" w14:textId="77777777" w:rsidR="00EB3DB1" w:rsidRPr="00F63B7B" w:rsidRDefault="00000000">
            <w:pPr>
              <w:spacing w:after="0" w:line="379"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 xml:space="preserve">(9) Valorile și tranșele prevăzute la alin. (1) și (2) vor putea fi modificate prin hotărâre a Guvernului, inițiată în conformitate cu dispozițiile </w:t>
            </w:r>
            <w:hyperlink r:id="rId21">
              <w:r w:rsidRPr="00F63B7B">
                <w:rPr>
                  <w:rFonts w:ascii="Times New Roman" w:eastAsia="Times New Roman" w:hAnsi="Times New Roman" w:cs="Times New Roman"/>
                  <w:sz w:val="24"/>
                  <w:szCs w:val="24"/>
                  <w:lang w:val="fr-FR"/>
                </w:rPr>
                <w:t>art. 80</w:t>
              </w:r>
            </w:hyperlink>
            <w:r w:rsidRPr="00F63B7B">
              <w:rPr>
                <w:rFonts w:ascii="Times New Roman" w:eastAsia="Times New Roman" w:hAnsi="Times New Roman" w:cs="Times New Roman"/>
                <w:sz w:val="24"/>
                <w:szCs w:val="24"/>
                <w:lang w:val="fr-FR"/>
              </w:rPr>
              <w:t xml:space="preserve"> și </w:t>
            </w:r>
            <w:hyperlink r:id="rId22">
              <w:r w:rsidRPr="00F63B7B">
                <w:rPr>
                  <w:rFonts w:ascii="Times New Roman" w:eastAsia="Times New Roman" w:hAnsi="Times New Roman" w:cs="Times New Roman"/>
                  <w:sz w:val="24"/>
                  <w:szCs w:val="24"/>
                  <w:lang w:val="fr-FR"/>
                </w:rPr>
                <w:t>180 din Legea nr. 123/2012</w:t>
              </w:r>
            </w:hyperlink>
            <w:r w:rsidRPr="00F63B7B">
              <w:rPr>
                <w:rFonts w:ascii="Times New Roman" w:eastAsia="Times New Roman" w:hAnsi="Times New Roman" w:cs="Times New Roman"/>
                <w:sz w:val="24"/>
                <w:szCs w:val="24"/>
                <w:lang w:val="fr-FR"/>
              </w:rPr>
              <w:t xml:space="preserve">, cu </w:t>
            </w:r>
            <w:r w:rsidRPr="00F63B7B">
              <w:rPr>
                <w:rFonts w:ascii="Times New Roman" w:eastAsia="Times New Roman" w:hAnsi="Times New Roman" w:cs="Times New Roman"/>
                <w:sz w:val="24"/>
                <w:szCs w:val="24"/>
                <w:lang w:val="fr-FR"/>
              </w:rPr>
              <w:lastRenderedPageBreak/>
              <w:t>modificările și completările ulterioare, în funcție de evoluțiile înregistrate pe piețele interne și internaționale de energie electrică și gaze naturale și de evoluția geopolitică din vecinătatea României.</w:t>
            </w:r>
          </w:p>
          <w:p w14:paraId="6345B8D1" w14:textId="77777777" w:rsidR="00EB3DB1" w:rsidRPr="00F63B7B" w:rsidRDefault="00EB3DB1">
            <w:pPr>
              <w:spacing w:after="0" w:line="379" w:lineRule="auto"/>
              <w:jc w:val="both"/>
              <w:rPr>
                <w:rFonts w:ascii="Times New Roman" w:eastAsia="Times New Roman" w:hAnsi="Times New Roman" w:cs="Times New Roman"/>
                <w:sz w:val="24"/>
                <w:szCs w:val="24"/>
                <w:lang w:val="fr-FR"/>
              </w:rPr>
            </w:pPr>
          </w:p>
          <w:p w14:paraId="04D025DC" w14:textId="77777777" w:rsidR="00EB3DB1" w:rsidRDefault="00000000">
            <w:pPr>
              <w:spacing w:after="0" w:line="37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Autor: Grup USR</w:t>
            </w:r>
          </w:p>
        </w:tc>
        <w:tc>
          <w:tcPr>
            <w:tcW w:w="2239" w:type="dxa"/>
          </w:tcPr>
          <w:p w14:paraId="40492D08" w14:textId="77777777" w:rsidR="00EB3DB1" w:rsidRPr="00F63B7B" w:rsidRDefault="00000000">
            <w:pPr>
              <w:spacing w:after="0" w:line="240"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lastRenderedPageBreak/>
              <w:t>Raportarea la un consum de energie realizat în trecut este discriminatorie și nu respectă principiul predictibilității. Consumatorii casnici nu se pot întoarce în timp să consume mai puțin. În același timp nu există de fapt nici un fel de stimulent pentru a consuma astăzi mai puțin din moment ce prețul plafonat se aplică raportat la consumul anului 2021.</w:t>
            </w:r>
          </w:p>
          <w:p w14:paraId="52516A04" w14:textId="77777777" w:rsidR="00EB3DB1" w:rsidRPr="00F63B7B" w:rsidRDefault="00EB3DB1">
            <w:pPr>
              <w:spacing w:after="0" w:line="240" w:lineRule="auto"/>
              <w:jc w:val="both"/>
              <w:rPr>
                <w:rFonts w:ascii="Times New Roman" w:eastAsia="Times New Roman" w:hAnsi="Times New Roman" w:cs="Times New Roman"/>
                <w:sz w:val="24"/>
                <w:szCs w:val="24"/>
                <w:lang w:val="fr-FR"/>
              </w:rPr>
            </w:pPr>
          </w:p>
          <w:p w14:paraId="185CFAB1" w14:textId="77777777" w:rsidR="00EB3DB1" w:rsidRPr="00F63B7B" w:rsidRDefault="00000000">
            <w:pPr>
              <w:spacing w:after="0" w:line="240" w:lineRule="auto"/>
              <w:jc w:val="both"/>
              <w:rPr>
                <w:rFonts w:ascii="Times New Roman" w:eastAsia="Times New Roman" w:hAnsi="Times New Roman" w:cs="Times New Roman"/>
                <w:sz w:val="24"/>
                <w:szCs w:val="24"/>
                <w:lang w:val="fr-FR"/>
              </w:rPr>
            </w:pPr>
            <w:r w:rsidRPr="00F63B7B">
              <w:rPr>
                <w:rFonts w:ascii="Times New Roman" w:eastAsia="Times New Roman" w:hAnsi="Times New Roman" w:cs="Times New Roman"/>
                <w:sz w:val="24"/>
                <w:szCs w:val="24"/>
                <w:lang w:val="fr-FR"/>
              </w:rPr>
              <w:t>Astfel propunem plafonarea în tranșe de consum pentru toți românii.</w:t>
            </w:r>
          </w:p>
          <w:p w14:paraId="420A069B" w14:textId="77777777" w:rsidR="00EB3DB1" w:rsidRPr="00F63B7B" w:rsidRDefault="00EB3DB1">
            <w:pPr>
              <w:spacing w:after="0" w:line="240" w:lineRule="auto"/>
              <w:jc w:val="both"/>
              <w:rPr>
                <w:rFonts w:ascii="Times New Roman" w:eastAsia="Times New Roman" w:hAnsi="Times New Roman" w:cs="Times New Roman"/>
                <w:sz w:val="24"/>
                <w:szCs w:val="24"/>
                <w:lang w:val="fr-FR"/>
              </w:rPr>
            </w:pPr>
          </w:p>
          <w:p w14:paraId="15AC4BE4" w14:textId="77777777" w:rsidR="00EB3DB1" w:rsidRPr="00F63B7B" w:rsidRDefault="00000000">
            <w:pPr>
              <w:spacing w:after="0" w:line="240" w:lineRule="auto"/>
              <w:jc w:val="both"/>
              <w:rPr>
                <w:rFonts w:ascii="Times New Roman" w:eastAsia="Times New Roman" w:hAnsi="Times New Roman" w:cs="Times New Roman"/>
                <w:sz w:val="26"/>
                <w:szCs w:val="26"/>
                <w:lang w:val="fr-FR"/>
              </w:rPr>
            </w:pPr>
            <w:r w:rsidRPr="00F63B7B">
              <w:rPr>
                <w:rFonts w:ascii="Times New Roman" w:eastAsia="Times New Roman" w:hAnsi="Times New Roman" w:cs="Times New Roman"/>
                <w:sz w:val="24"/>
                <w:szCs w:val="24"/>
                <w:lang w:val="fr-FR"/>
              </w:rPr>
              <w:lastRenderedPageBreak/>
              <w:t>Pentru primii 100 kWh prețul plafonat să fie de 0,68 lei/kWh, pentru consumul cuprins între 101 - 255 kWh prețul plafonat să fie de 0,8 lei/kWh iar pentru consumul ce depășește 255 kWh să se aplice prețul de contrac</w:t>
            </w:r>
            <w:r w:rsidRPr="00F63B7B">
              <w:rPr>
                <w:rFonts w:ascii="Times New Roman" w:eastAsia="Times New Roman" w:hAnsi="Times New Roman" w:cs="Times New Roman"/>
                <w:sz w:val="26"/>
                <w:szCs w:val="26"/>
                <w:lang w:val="fr-FR"/>
              </w:rPr>
              <w:t>t.</w:t>
            </w:r>
          </w:p>
        </w:tc>
      </w:tr>
      <w:tr w:rsidR="00EB3DB1" w14:paraId="2F5226BC" w14:textId="77777777">
        <w:tc>
          <w:tcPr>
            <w:tcW w:w="569" w:type="dxa"/>
          </w:tcPr>
          <w:p w14:paraId="1F065080" w14:textId="77777777" w:rsidR="00EB3DB1"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5981" w:type="dxa"/>
          </w:tcPr>
          <w:p w14:paraId="504AF0B4" w14:textId="77777777" w:rsidR="00EB3DB1" w:rsidRDefault="00EB3DB1">
            <w:pPr>
              <w:spacing w:before="60" w:after="0" w:line="379" w:lineRule="auto"/>
              <w:ind w:left="120" w:right="100"/>
              <w:jc w:val="both"/>
              <w:rPr>
                <w:rFonts w:ascii="Times New Roman" w:eastAsia="Times New Roman" w:hAnsi="Times New Roman" w:cs="Times New Roman"/>
                <w:sz w:val="24"/>
                <w:szCs w:val="24"/>
              </w:rPr>
            </w:pPr>
          </w:p>
        </w:tc>
        <w:tc>
          <w:tcPr>
            <w:tcW w:w="6237" w:type="dxa"/>
          </w:tcPr>
          <w:p w14:paraId="6600F7B0" w14:textId="77777777" w:rsidR="00EB3DB1" w:rsidRDefault="00000000">
            <w:pPr>
              <w:spacing w:before="240" w:after="240" w:line="37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introduce articolul X cu următorul conținut:</w:t>
            </w:r>
          </w:p>
          <w:p w14:paraId="4E2B1405" w14:textId="77777777" w:rsidR="00EB3DB1" w:rsidRDefault="00000000">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Pentru perioada cuprinsă între 01.10.2022 și 31.12.2024, contribuabilii care datorează impozit pe profit trimestrial și care înregistrează cheltuieli cu consumul de energie electrică sau gaze naturale scad 50% din cheltuielile suplimentare generate de creșterea de prețuri raportată la prețul mediu ponderat de tranzacționare pe Piața pentru Ziua Următoare (PZU) pentru energie electrică și gaze naturale, după caz, din luna ianuarie 2022, ținând cont de cantitățile consumate, din impozitul pe profit datorat pentru trimestrul în care au fost efectuate.</w:t>
            </w:r>
          </w:p>
          <w:p w14:paraId="65ABF209" w14:textId="77777777" w:rsidR="00EB3DB1" w:rsidRDefault="00000000">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Pentru perioada cuprinsă între 01.10.2022 și 31.12.2024, contribuabilii care aplică sistemul anual de declarare și plată a impozitului pe profit și care înregistrează cheltuieli cu consumul de energie electrică sau gaze naturale scad 50% din cheltuielile suplimentare generate de creșterea de prețuri raportată la prețul mediu ponderat de tranzacționare pe Piața pentru Ziua Următoare (PZU) pentru energie electrică și gaze naturale, după caz, din luna ianuarie 2022, ținând cont de cantitățile consumate, din impozitul pe profit anual.</w:t>
            </w:r>
          </w:p>
          <w:p w14:paraId="10712488" w14:textId="77777777" w:rsidR="00EB3DB1" w:rsidRPr="00F63B7B" w:rsidRDefault="00000000">
            <w:pPr>
              <w:spacing w:after="240" w:line="240" w:lineRule="auto"/>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rPr>
              <w:lastRenderedPageBreak/>
              <w:t xml:space="preserve">(3) Sumele care nu sunt scăzute din impozitul pe profit potrivit prevederilor alin. </w:t>
            </w:r>
            <w:r w:rsidRPr="00F63B7B">
              <w:rPr>
                <w:rFonts w:ascii="Times New Roman" w:eastAsia="Times New Roman" w:hAnsi="Times New Roman" w:cs="Times New Roman"/>
                <w:b/>
                <w:sz w:val="24"/>
                <w:szCs w:val="24"/>
                <w:lang w:val="fr-FR"/>
              </w:rPr>
              <w:t>(1) și (2) se reportează în următorii 7 ani consecutivi, la fiecare termen de declarare și plată. Recuperarea acestor sume se va efectua în ordinea înregistrării acestora, în aceleași condiții, la fiecare termen de plată a impozitului pe profit. Cheltuielile scăzute astfel din impozitul datorat nu sunt deductibile.</w:t>
            </w:r>
          </w:p>
          <w:p w14:paraId="5F93200A" w14:textId="77777777" w:rsidR="00EB3DB1" w:rsidRPr="00F63B7B" w:rsidRDefault="00000000">
            <w:pPr>
              <w:spacing w:after="240" w:line="240"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(4) În sensul prezentului articol, valoarea impozitului pe profit din care se scad cheltuielile menționate la alin. (1) și (2) reprezintă impozitul pe profit după scăderea creditului fiscal extern, impozitului pe profit scutit sau redus, sumelor reprezentând sponsorizare și/sau mecenat, burse private, în limita prevăzută de lege, costului de achiziție al aparatelor de marcat electronice fiscale și a bonificației prevăzute de Ordonanța de Urgență nr. 153 din 3 septembrie 2020 pentru instituirea unor măsuri fiscale de stimulare a menținerii/creșterii capitalurilor proprii, precum și pentru completarea unor acte normative.</w:t>
            </w:r>
          </w:p>
          <w:p w14:paraId="2A410709" w14:textId="77777777" w:rsidR="00EB3DB1" w:rsidRPr="00F63B7B" w:rsidRDefault="00000000">
            <w:pPr>
              <w:spacing w:after="240" w:line="240"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 xml:space="preserve">(5) Pentru perioada cuprinsă între 01.10.2022 și 31.12.2024, microîntreprinderile scad 50% din cheltuielile suplimentare cu consumul de energie electrică sau gaze naturale generate de creșterea de prețuri raportată la prețul mediu ponderat de tranzacționare pe Piața pentru Ziua Următoare (PZU) pentru energie electrică și gaze naturale, după caz, din luna ianuarie 2022, ținând cont de cantitățile consumate,  din impozitul pe veniturile microîntreprinderilor în trimestrul în care au fost înregistrate, în limita impozitului pe veniturile microîntreprinderilor datorat pentru trimestrul respectiv. Sumele care nu sunt scăzute din impozitul datorat pe veniturile microîntreprinderilor se reportează în </w:t>
            </w:r>
            <w:proofErr w:type="gramStart"/>
            <w:r w:rsidRPr="00F63B7B">
              <w:rPr>
                <w:rFonts w:ascii="Times New Roman" w:eastAsia="Times New Roman" w:hAnsi="Times New Roman" w:cs="Times New Roman"/>
                <w:b/>
                <w:sz w:val="24"/>
                <w:szCs w:val="24"/>
                <w:lang w:val="fr-FR"/>
              </w:rPr>
              <w:t>trimestrele  următoare</w:t>
            </w:r>
            <w:proofErr w:type="gramEnd"/>
            <w:r w:rsidRPr="00F63B7B">
              <w:rPr>
                <w:rFonts w:ascii="Times New Roman" w:eastAsia="Times New Roman" w:hAnsi="Times New Roman" w:cs="Times New Roman"/>
                <w:b/>
                <w:sz w:val="24"/>
                <w:szCs w:val="24"/>
                <w:lang w:val="fr-FR"/>
              </w:rPr>
              <w:t xml:space="preserve">,  pe  o  perioadă  de  28  de  trimestre  consecutive. Scăderea acestor sume din </w:t>
            </w:r>
            <w:proofErr w:type="gramStart"/>
            <w:r w:rsidRPr="00F63B7B">
              <w:rPr>
                <w:rFonts w:ascii="Times New Roman" w:eastAsia="Times New Roman" w:hAnsi="Times New Roman" w:cs="Times New Roman"/>
                <w:b/>
                <w:sz w:val="24"/>
                <w:szCs w:val="24"/>
                <w:lang w:val="fr-FR"/>
              </w:rPr>
              <w:t>impozitul  pe</w:t>
            </w:r>
            <w:proofErr w:type="gramEnd"/>
            <w:r w:rsidRPr="00F63B7B">
              <w:rPr>
                <w:rFonts w:ascii="Times New Roman" w:eastAsia="Times New Roman" w:hAnsi="Times New Roman" w:cs="Times New Roman"/>
                <w:b/>
                <w:sz w:val="24"/>
                <w:szCs w:val="24"/>
                <w:lang w:val="fr-FR"/>
              </w:rPr>
              <w:t xml:space="preserve">  veniturile  microîntreprinderilor datorat  se  efectuează  în  ordinea  înregistrării acestora,  în  aceleași condiții,  la </w:t>
            </w:r>
            <w:r w:rsidRPr="00F63B7B">
              <w:rPr>
                <w:rFonts w:ascii="Times New Roman" w:eastAsia="Times New Roman" w:hAnsi="Times New Roman" w:cs="Times New Roman"/>
                <w:b/>
                <w:sz w:val="24"/>
                <w:szCs w:val="24"/>
                <w:lang w:val="fr-FR"/>
              </w:rPr>
              <w:lastRenderedPageBreak/>
              <w:t>fiecare  termen  de  plată  a  impozitului  pe  veniturile microîntreprinderilor.</w:t>
            </w:r>
          </w:p>
          <w:p w14:paraId="1BB7B139" w14:textId="77777777" w:rsidR="00EB3DB1" w:rsidRPr="00F63B7B" w:rsidRDefault="00000000">
            <w:pPr>
              <w:spacing w:after="240" w:line="240"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(6) În sensul prezentului articol, valoarea impozitului pe veniturile microîntreprinderilor din care se scad cheltuielile menționate la alin (5) reprezintă impozitul pe veniturile microîntreprinderilor determinat după scăderea sumelor prevăzute la art. 56, alin. (1^1) din Legea nr. 227/2015 privind Codul fiscal.</w:t>
            </w:r>
          </w:p>
          <w:p w14:paraId="7116A016" w14:textId="77777777" w:rsidR="00EB3DB1" w:rsidRPr="00F63B7B" w:rsidRDefault="00000000">
            <w:pPr>
              <w:spacing w:after="240" w:line="240"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(7) Pentru perioada cuprinsă între 01.10.2022 și 31.12.2024 contribuabilii care intră sub incidența prevederilor </w:t>
            </w:r>
            <w:hyperlink r:id="rId23">
              <w:r w:rsidRPr="00F63B7B">
                <w:rPr>
                  <w:rFonts w:ascii="Times New Roman" w:eastAsia="Times New Roman" w:hAnsi="Times New Roman" w:cs="Times New Roman"/>
                  <w:b/>
                  <w:sz w:val="24"/>
                  <w:szCs w:val="24"/>
                  <w:lang w:val="fr-FR"/>
                </w:rPr>
                <w:t>Legii nr. 170/2016</w:t>
              </w:r>
            </w:hyperlink>
            <w:r w:rsidRPr="00F63B7B">
              <w:rPr>
                <w:rFonts w:ascii="Times New Roman" w:eastAsia="Times New Roman" w:hAnsi="Times New Roman" w:cs="Times New Roman"/>
                <w:b/>
                <w:sz w:val="24"/>
                <w:szCs w:val="24"/>
                <w:lang w:val="fr-FR"/>
              </w:rPr>
              <w:t> privind impozitul specific unor activități, cu completările ulterioare, scad 50% din cheltuielile suplimentare cu consumul de energie electrică sau gaze naturale generate de creșterea de prețuri raportată la prețul mediu ponderat de tranzacționare pe Piața pentru Ziua Următoare (PZU) pentru energie electrică și gaze naturale, după caz, din luna ianuarie 2022, ținând cont de cantitățile consumate, din impozitul datorat semestrial. În cazul în care valoarea reducerii este mai mare decât impozitul datorat în semestrele respective, diferența care nu a fost scăzută se reportează pe următoarele 14 semestre.</w:t>
            </w:r>
          </w:p>
          <w:p w14:paraId="0C0857AB" w14:textId="77777777" w:rsidR="00EB3DB1" w:rsidRPr="00F63B7B" w:rsidRDefault="00000000">
            <w:pPr>
              <w:spacing w:after="240" w:line="240"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(8) În cazul microîntreprinderilor care devin plătitoare de impozit pe profit sau care datorează impozitul specific unor activități, sau care își schimbă cota de impozitare, în cazul contribuabililor care ies de sub incidența prevederilor </w:t>
            </w:r>
            <w:hyperlink r:id="rId24">
              <w:r w:rsidRPr="00F63B7B">
                <w:rPr>
                  <w:rFonts w:ascii="Times New Roman" w:eastAsia="Times New Roman" w:hAnsi="Times New Roman" w:cs="Times New Roman"/>
                  <w:b/>
                  <w:sz w:val="24"/>
                  <w:szCs w:val="24"/>
                  <w:lang w:val="fr-FR"/>
                </w:rPr>
                <w:t>Legii nr. 170/2016</w:t>
              </w:r>
            </w:hyperlink>
            <w:r w:rsidRPr="00F63B7B">
              <w:rPr>
                <w:rFonts w:ascii="Times New Roman" w:eastAsia="Times New Roman" w:hAnsi="Times New Roman" w:cs="Times New Roman"/>
                <w:b/>
                <w:sz w:val="24"/>
                <w:szCs w:val="24"/>
                <w:lang w:val="fr-FR"/>
              </w:rPr>
              <w:t> privind impozitul specific unor activități, cu completările ulterioare, precum și în cazul plătitorilor de impozit pe profit care devin microîntreprinderi sau care datorează impozitul specific unor activități, sumele reportate potrivit alin. (3), (5) și (7) se deduc în termenele menționate la alin. (3), (5) și (7).</w:t>
            </w:r>
          </w:p>
          <w:p w14:paraId="3717EF59" w14:textId="77777777" w:rsidR="00EB3DB1" w:rsidRPr="00F63B7B" w:rsidRDefault="00000000">
            <w:pPr>
              <w:spacing w:after="240" w:line="240"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 xml:space="preserve">(9) Sumele reprezentând 50% din cheltuielile suplimentare generate de creșterea de prețuri, definite conform alin. (1), </w:t>
            </w:r>
            <w:r w:rsidRPr="00F63B7B">
              <w:rPr>
                <w:rFonts w:ascii="Times New Roman" w:eastAsia="Times New Roman" w:hAnsi="Times New Roman" w:cs="Times New Roman"/>
                <w:b/>
                <w:sz w:val="24"/>
                <w:szCs w:val="24"/>
                <w:lang w:val="fr-FR"/>
              </w:rPr>
              <w:lastRenderedPageBreak/>
              <w:t>(2), (5) și (7), care depășesc impozitul datorat, se scad, în ordine, din impozitul pe salarii reținut de contribuabil pentru angajați, din taxa pe valoare adăugată datorată sau din accizele datorate, pe baza unei declarații de regularizare.</w:t>
            </w:r>
          </w:p>
          <w:p w14:paraId="2C45F3F6" w14:textId="77777777" w:rsidR="00EB3DB1" w:rsidRPr="00F63B7B" w:rsidRDefault="00000000">
            <w:pPr>
              <w:spacing w:after="240" w:line="240" w:lineRule="auto"/>
              <w:jc w:val="both"/>
              <w:rPr>
                <w:rFonts w:ascii="Times New Roman" w:eastAsia="Times New Roman" w:hAnsi="Times New Roman" w:cs="Times New Roman"/>
                <w:b/>
                <w:sz w:val="24"/>
                <w:szCs w:val="24"/>
                <w:lang w:val="fr-FR"/>
              </w:rPr>
            </w:pPr>
            <w:r w:rsidRPr="00F63B7B">
              <w:rPr>
                <w:rFonts w:ascii="Times New Roman" w:eastAsia="Times New Roman" w:hAnsi="Times New Roman" w:cs="Times New Roman"/>
                <w:b/>
                <w:sz w:val="24"/>
                <w:szCs w:val="24"/>
                <w:lang w:val="fr-FR"/>
              </w:rPr>
              <w:t>(10) Modelul și modalitatea de depunere și gestionare a declarației prevăzute la alin. (9) se aprobă prin ordin al președintelui Agenției Naționale de Administrare Fiscală.</w:t>
            </w:r>
          </w:p>
          <w:p w14:paraId="12ACFAEA" w14:textId="77777777" w:rsidR="00EB3DB1" w:rsidRDefault="00000000">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Autor: Grup USR</w:t>
            </w:r>
          </w:p>
        </w:tc>
        <w:tc>
          <w:tcPr>
            <w:tcW w:w="2239" w:type="dxa"/>
          </w:tcPr>
          <w:p w14:paraId="11228E9F" w14:textId="77777777" w:rsidR="00EB3DB1"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Sprijinul acordat doar IMM-urilor și industriei alimentare nu este suficient iar România riscă să piardă zeci de mii de locuri de muncă din cauza faptului că noua ordonanță pune sute de mii de companii din economie într-o situație imposibilă, prin suportarea integrală a costurilor cu energia de pe o zi pe alta.</w:t>
            </w:r>
          </w:p>
          <w:p w14:paraId="75C6124C" w14:textId="77777777" w:rsidR="00EB3DB1" w:rsidRDefault="00EB3DB1">
            <w:pPr>
              <w:spacing w:after="0" w:line="240" w:lineRule="auto"/>
              <w:jc w:val="both"/>
              <w:rPr>
                <w:rFonts w:ascii="Times New Roman" w:eastAsia="Times New Roman" w:hAnsi="Times New Roman" w:cs="Times New Roman"/>
                <w:sz w:val="24"/>
                <w:szCs w:val="24"/>
              </w:rPr>
            </w:pPr>
          </w:p>
          <w:p w14:paraId="4AB8D1B7" w14:textId="77777777" w:rsidR="00EB3DB1" w:rsidRDefault="00000000">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Astfel propunem introducerea creditului fiscal pentru toate companiile românești prin care statul suportă 50% </w:t>
            </w:r>
            <w:r>
              <w:rPr>
                <w:rFonts w:ascii="Times New Roman" w:eastAsia="Times New Roman" w:hAnsi="Times New Roman" w:cs="Times New Roman"/>
                <w:sz w:val="24"/>
                <w:szCs w:val="24"/>
              </w:rPr>
              <w:lastRenderedPageBreak/>
              <w:t>din creșterea prețului la gaze naturale și energie electrică raportată la luna ianuarie 2022.</w:t>
            </w:r>
          </w:p>
        </w:tc>
      </w:tr>
    </w:tbl>
    <w:p w14:paraId="7DA4B82F" w14:textId="77777777" w:rsidR="00EB3DB1" w:rsidRDefault="00EB3DB1">
      <w:pPr>
        <w:spacing w:after="0" w:line="240" w:lineRule="auto"/>
        <w:jc w:val="right"/>
        <w:rPr>
          <w:rFonts w:ascii="Times New Roman" w:eastAsia="Times New Roman" w:hAnsi="Times New Roman" w:cs="Times New Roman"/>
          <w:sz w:val="24"/>
          <w:szCs w:val="24"/>
        </w:rPr>
      </w:pPr>
    </w:p>
    <w:p w14:paraId="333AE4A0" w14:textId="77777777" w:rsidR="00EB3DB1" w:rsidRDefault="00EB3DB1">
      <w:pPr>
        <w:spacing w:line="259" w:lineRule="auto"/>
        <w:rPr>
          <w:rFonts w:ascii="Times New Roman" w:eastAsia="Times New Roman" w:hAnsi="Times New Roman" w:cs="Times New Roman"/>
          <w:sz w:val="24"/>
          <w:szCs w:val="24"/>
        </w:rPr>
      </w:pPr>
    </w:p>
    <w:sectPr w:rsidR="00EB3DB1">
      <w:footerReference w:type="default" r:id="rId25"/>
      <w:pgSz w:w="16838" w:h="11906" w:orient="landscape"/>
      <w:pgMar w:top="851" w:right="851" w:bottom="567" w:left="1418"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00D4A" w14:textId="77777777" w:rsidR="000E2498" w:rsidRDefault="000E2498">
      <w:pPr>
        <w:spacing w:after="0" w:line="240" w:lineRule="auto"/>
      </w:pPr>
      <w:r>
        <w:separator/>
      </w:r>
    </w:p>
  </w:endnote>
  <w:endnote w:type="continuationSeparator" w:id="0">
    <w:p w14:paraId="0FE20ABA" w14:textId="77777777" w:rsidR="000E2498" w:rsidRDefault="000E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BCD9" w14:textId="77777777" w:rsidR="00EB3DB1"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63B7B">
      <w:rPr>
        <w:noProof/>
        <w:color w:val="000000"/>
      </w:rPr>
      <w:t>1</w:t>
    </w:r>
    <w:r>
      <w:rPr>
        <w:color w:val="000000"/>
      </w:rPr>
      <w:fldChar w:fldCharType="end"/>
    </w:r>
  </w:p>
  <w:p w14:paraId="5E2CB65C" w14:textId="77777777" w:rsidR="00EB3DB1" w:rsidRDefault="00EB3D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B6134" w14:textId="77777777" w:rsidR="000E2498" w:rsidRDefault="000E2498">
      <w:pPr>
        <w:spacing w:after="0" w:line="240" w:lineRule="auto"/>
      </w:pPr>
      <w:r>
        <w:separator/>
      </w:r>
    </w:p>
  </w:footnote>
  <w:footnote w:type="continuationSeparator" w:id="0">
    <w:p w14:paraId="73C1B29B" w14:textId="77777777" w:rsidR="000E2498" w:rsidRDefault="000E24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DB1"/>
    <w:rsid w:val="000E2498"/>
    <w:rsid w:val="00501418"/>
    <w:rsid w:val="00DD0B13"/>
    <w:rsid w:val="00EB3DB1"/>
    <w:rsid w:val="00F63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F68E"/>
  <w15:docId w15:val="{68E19E15-4827-46EA-B325-667E9006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59"/>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link w:val="Titlu4Caracter"/>
    <w:uiPriority w:val="9"/>
    <w:semiHidden/>
    <w:unhideWhenUsed/>
    <w:qFormat/>
    <w:rsid w:val="00F81A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character" w:customStyle="1" w:styleId="Titlu4Caracter">
    <w:name w:val="Titlu 4 Caracter"/>
    <w:basedOn w:val="Fontdeparagrafimplicit"/>
    <w:link w:val="Titlu4"/>
    <w:uiPriority w:val="9"/>
    <w:semiHidden/>
    <w:rsid w:val="00F81A59"/>
    <w:rPr>
      <w:rFonts w:asciiTheme="majorHAnsi" w:eastAsiaTheme="majorEastAsia" w:hAnsiTheme="majorHAnsi" w:cstheme="majorBidi"/>
      <w:i/>
      <w:iCs/>
      <w:color w:val="2E74B5" w:themeColor="accent1" w:themeShade="BF"/>
      <w:lang w:val="en-US"/>
    </w:rPr>
  </w:style>
  <w:style w:type="character" w:styleId="Hyperlink">
    <w:name w:val="Hyperlink"/>
    <w:basedOn w:val="Fontdeparagrafimplicit"/>
    <w:uiPriority w:val="99"/>
    <w:unhideWhenUsed/>
    <w:rsid w:val="006475AB"/>
    <w:rPr>
      <w:color w:val="0563C1" w:themeColor="hyperlink"/>
      <w:u w:val="single"/>
    </w:rPr>
  </w:style>
  <w:style w:type="character" w:customStyle="1" w:styleId="UnresolvedMention1">
    <w:name w:val="Unresolved Mention1"/>
    <w:basedOn w:val="Fontdeparagrafimplicit"/>
    <w:uiPriority w:val="99"/>
    <w:semiHidden/>
    <w:unhideWhenUsed/>
    <w:rsid w:val="00A0089F"/>
    <w:rPr>
      <w:color w:val="605E5C"/>
      <w:shd w:val="clear" w:color="auto" w:fill="E1DFDD"/>
    </w:rPr>
  </w:style>
  <w:style w:type="paragraph" w:styleId="Antet">
    <w:name w:val="header"/>
    <w:basedOn w:val="Normal"/>
    <w:link w:val="AntetCaracter"/>
    <w:uiPriority w:val="99"/>
    <w:unhideWhenUsed/>
    <w:rsid w:val="005545A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545AA"/>
    <w:rPr>
      <w:lang w:val="en-US"/>
    </w:rPr>
  </w:style>
  <w:style w:type="paragraph" w:styleId="Subsol">
    <w:name w:val="footer"/>
    <w:basedOn w:val="Normal"/>
    <w:link w:val="SubsolCaracter"/>
    <w:uiPriority w:val="99"/>
    <w:unhideWhenUsed/>
    <w:rsid w:val="005545A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545AA"/>
    <w:rPr>
      <w:lang w:val="en-US"/>
    </w:rPr>
  </w:style>
  <w:style w:type="paragraph" w:styleId="TextnBalon">
    <w:name w:val="Balloon Text"/>
    <w:basedOn w:val="Normal"/>
    <w:link w:val="TextnBalonCaracter"/>
    <w:uiPriority w:val="99"/>
    <w:semiHidden/>
    <w:unhideWhenUsed/>
    <w:rsid w:val="00F46FA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46FAA"/>
    <w:rPr>
      <w:rFonts w:ascii="Segoe UI" w:hAnsi="Segoe UI" w:cs="Segoe UI"/>
      <w:sz w:val="18"/>
      <w:szCs w:val="18"/>
      <w:lang w:val="en-US"/>
    </w:rPr>
  </w:style>
  <w:style w:type="character" w:styleId="Referincomentariu">
    <w:name w:val="annotation reference"/>
    <w:basedOn w:val="Fontdeparagrafimplicit"/>
    <w:uiPriority w:val="99"/>
    <w:semiHidden/>
    <w:unhideWhenUsed/>
    <w:rsid w:val="00F77CEC"/>
    <w:rPr>
      <w:sz w:val="16"/>
      <w:szCs w:val="16"/>
    </w:rPr>
  </w:style>
  <w:style w:type="paragraph" w:styleId="Textcomentariu">
    <w:name w:val="annotation text"/>
    <w:basedOn w:val="Normal"/>
    <w:link w:val="TextcomentariuCaracter"/>
    <w:uiPriority w:val="99"/>
    <w:semiHidden/>
    <w:unhideWhenUsed/>
    <w:rsid w:val="00F77CE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77CEC"/>
    <w:rPr>
      <w:sz w:val="20"/>
      <w:szCs w:val="20"/>
      <w:lang w:val="en-US"/>
    </w:rPr>
  </w:style>
  <w:style w:type="paragraph" w:styleId="SubiectComentariu">
    <w:name w:val="annotation subject"/>
    <w:basedOn w:val="Textcomentariu"/>
    <w:next w:val="Textcomentariu"/>
    <w:link w:val="SubiectComentariuCaracter"/>
    <w:uiPriority w:val="99"/>
    <w:semiHidden/>
    <w:unhideWhenUsed/>
    <w:rsid w:val="00F77CEC"/>
    <w:rPr>
      <w:b/>
      <w:bCs/>
    </w:rPr>
  </w:style>
  <w:style w:type="character" w:customStyle="1" w:styleId="SubiectComentariuCaracter">
    <w:name w:val="Subiect Comentariu Caracter"/>
    <w:basedOn w:val="TextcomentariuCaracter"/>
    <w:link w:val="SubiectComentariu"/>
    <w:uiPriority w:val="99"/>
    <w:semiHidden/>
    <w:rsid w:val="00F77CEC"/>
    <w:rPr>
      <w:b/>
      <w:bCs/>
      <w:sz w:val="20"/>
      <w:szCs w:val="20"/>
      <w:lang w:val="en-US"/>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0939" TargetMode="External"/><Relationship Id="rId13" Type="http://schemas.openxmlformats.org/officeDocument/2006/relationships/hyperlink" Target="https://legislatie.just.ro/Public/DetaliiDocumentAfis/257208" TargetMode="External"/><Relationship Id="rId18" Type="http://schemas.openxmlformats.org/officeDocument/2006/relationships/hyperlink" Target="https://legislatie.just.ro/Public/DetaliiDocumentAfis/2581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gislatie.just.ro/Public/DetaliiDocumentAfis/257208" TargetMode="External"/><Relationship Id="rId7" Type="http://schemas.openxmlformats.org/officeDocument/2006/relationships/hyperlink" Target="https://legislatie.just.ro/Public/DetaliiDocumentAfis/257208" TargetMode="External"/><Relationship Id="rId12" Type="http://schemas.openxmlformats.org/officeDocument/2006/relationships/hyperlink" Target="https://legislatie.just.ro/Public/DetaliiDocumentAfis/257208" TargetMode="External"/><Relationship Id="rId17" Type="http://schemas.openxmlformats.org/officeDocument/2006/relationships/hyperlink" Target="https://legislatie.just.ro/Public/DetaliiDocumentAfis/25712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egislatie.just.ro/Public/DetaliiDocumentAfis/250939" TargetMode="External"/><Relationship Id="rId20" Type="http://schemas.openxmlformats.org/officeDocument/2006/relationships/hyperlink" Target="https://legislatie.just.ro/Public/DetaliiDocumentAfis/25720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islatie.just.ro/Public/DetaliiDocumentAfis/240468" TargetMode="External"/><Relationship Id="rId24" Type="http://schemas.openxmlformats.org/officeDocument/2006/relationships/hyperlink" Target="http://legislatie.just.ro/Public/DetaliiDocumentAfis/228077" TargetMode="External"/><Relationship Id="rId5" Type="http://schemas.openxmlformats.org/officeDocument/2006/relationships/footnotes" Target="footnotes.xml"/><Relationship Id="rId15" Type="http://schemas.openxmlformats.org/officeDocument/2006/relationships/hyperlink" Target="https://legislatie.just.ro/Public/DetaliiDocumentAfis/257208" TargetMode="External"/><Relationship Id="rId23" Type="http://schemas.openxmlformats.org/officeDocument/2006/relationships/hyperlink" Target="http://legislatie.just.ro/Public/DetaliiDocumentAfis/228077" TargetMode="External"/><Relationship Id="rId10" Type="http://schemas.openxmlformats.org/officeDocument/2006/relationships/hyperlink" Target="https://legislatie.just.ro/Public/DetaliiDocumentAfis/258114" TargetMode="External"/><Relationship Id="rId19" Type="http://schemas.openxmlformats.org/officeDocument/2006/relationships/hyperlink" Target="https://legislatie.just.ro/Public/DetaliiDocumentAfis/240468"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57129" TargetMode="External"/><Relationship Id="rId14" Type="http://schemas.openxmlformats.org/officeDocument/2006/relationships/hyperlink" Target="https://legislatie.just.ro/Public/DetaliiDocumentAfis/257208" TargetMode="External"/><Relationship Id="rId22" Type="http://schemas.openxmlformats.org/officeDocument/2006/relationships/hyperlink" Target="https://legislatie.just.ro/Public/DetaliiDocumentAfis/25720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xxv6GOOtlUw9Jvtn7qoveIyAiw==">AMUW2mUDPpro9Wo+Xx+xZd4C8cldRDGQdQfD0msQWtPCgd2UrgzX8dJhzUfSbFmgbaDHmi+dfxBdgC+IEgvWlOmRwQYcDVdNdyQGSOr4Cff/GT/yo6TABMc=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3090</Words>
  <Characters>17924</Characters>
  <Application>Microsoft Office Word</Application>
  <DocSecurity>0</DocSecurity>
  <Lines>149</Lines>
  <Paragraphs>41</Paragraphs>
  <ScaleCrop>false</ScaleCrop>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Zorila</dc:creator>
  <cp:lastModifiedBy>Raluca Pancu</cp:lastModifiedBy>
  <cp:revision>2</cp:revision>
  <dcterms:created xsi:type="dcterms:W3CDTF">2022-09-19T12:16:00Z</dcterms:created>
  <dcterms:modified xsi:type="dcterms:W3CDTF">2022-09-19T12:16:00Z</dcterms:modified>
</cp:coreProperties>
</file>