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D2" w:rsidRDefault="00CE1BBF">
      <w:pPr>
        <w:jc w:val="center"/>
        <w:rPr>
          <w:rFonts w:ascii="Arial Narrow" w:eastAsia="Arial Narrow" w:hAnsi="Arial Narrow" w:cs="Arial Narrow"/>
          <w:b/>
          <w:sz w:val="26"/>
          <w:szCs w:val="26"/>
        </w:rPr>
      </w:pPr>
      <w:r>
        <w:rPr>
          <w:rFonts w:ascii="Arial Narrow" w:eastAsia="Arial Narrow" w:hAnsi="Arial Narrow" w:cs="Arial Narrow"/>
          <w:noProof/>
          <w:lang w:val="ro-RO"/>
        </w:rPr>
        <w:drawing>
          <wp:inline distT="0" distB="0" distL="0" distR="0">
            <wp:extent cx="647700" cy="704850"/>
            <wp:effectExtent l="0" t="0" r="0" b="0"/>
            <wp:docPr id="1" name="image1.png" descr="stama CDe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ama CDep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36D2" w:rsidRDefault="00CE1BB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PARLAMENTUL ROMÂNIEI</w:t>
      </w:r>
    </w:p>
    <w:p w:rsidR="00D036D2" w:rsidRDefault="00CE1BB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CAMERA DEPUTAȚILOR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SENAT </w:t>
      </w:r>
    </w:p>
    <w:p w:rsidR="00D036D2" w:rsidRDefault="00CE1BBF">
      <w:pPr>
        <w:tabs>
          <w:tab w:val="center" w:pos="4680"/>
          <w:tab w:val="left" w:pos="625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LEGE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036D2" w:rsidRDefault="00CE1BBF">
      <w:pPr>
        <w:tabs>
          <w:tab w:val="left" w:pos="1500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completarea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Legii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550 din 2004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organizarea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funcţionarea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Jandarmeriei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modificarea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completarea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Ordonanţei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urgenţă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195 din 2002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circulaţia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drumurile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publice</w:t>
      </w:r>
      <w:proofErr w:type="spellEnd"/>
    </w:p>
    <w:p w:rsidR="00D036D2" w:rsidRDefault="00D036D2">
      <w:pPr>
        <w:tabs>
          <w:tab w:val="left" w:pos="2220"/>
          <w:tab w:val="left" w:pos="234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D2" w:rsidRDefault="00D036D2">
      <w:pPr>
        <w:tabs>
          <w:tab w:val="left" w:pos="2220"/>
          <w:tab w:val="left" w:pos="234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6D2" w:rsidRDefault="00CE1BBF">
      <w:pPr>
        <w:tabs>
          <w:tab w:val="left" w:pos="2220"/>
          <w:tab w:val="left" w:pos="234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Parlamentul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României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adopta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prezenta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lege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36D2" w:rsidRDefault="00D036D2">
      <w:pPr>
        <w:tabs>
          <w:tab w:val="left" w:pos="234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D2" w:rsidRDefault="00CE1BBF">
      <w:pPr>
        <w:pStyle w:val="Heading4"/>
        <w:shd w:val="clear" w:color="auto" w:fill="FFFFFF"/>
        <w:spacing w:before="0" w:after="0"/>
        <w:jc w:val="both"/>
      </w:pPr>
      <w:proofErr w:type="spellStart"/>
      <w:r>
        <w:t>Articolul</w:t>
      </w:r>
      <w:proofErr w:type="spellEnd"/>
      <w:r>
        <w:t xml:space="preserve"> I.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550 din 29 </w:t>
      </w:r>
      <w:proofErr w:type="spellStart"/>
      <w:r>
        <w:t>noiembrie</w:t>
      </w:r>
      <w:proofErr w:type="spellEnd"/>
      <w:r>
        <w:t xml:space="preserve"> 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Jandarmeriei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, </w:t>
      </w:r>
      <w:proofErr w:type="spellStart"/>
      <w:r>
        <w:t>publicată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I, </w:t>
      </w:r>
      <w:proofErr w:type="spellStart"/>
      <w:proofErr w:type="gramStart"/>
      <w:r>
        <w:t>nr</w:t>
      </w:r>
      <w:proofErr w:type="spellEnd"/>
      <w:proofErr w:type="gramEnd"/>
      <w:r>
        <w:t xml:space="preserve">. 1175 din 13 </w:t>
      </w:r>
      <w:proofErr w:type="spellStart"/>
      <w:r>
        <w:t>decembrie</w:t>
      </w:r>
      <w:proofErr w:type="spellEnd"/>
      <w:r>
        <w:t xml:space="preserve"> 2004,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gramStart"/>
      <w:r>
        <w:t>se</w:t>
      </w:r>
      <w:proofErr w:type="gramEnd"/>
      <w:r>
        <w:t xml:space="preserve">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D036D2" w:rsidRDefault="00D036D2"/>
    <w:p w:rsidR="00D036D2" w:rsidRDefault="00CE1B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articolul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19,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(1),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litera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l) se introduce 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nouă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literă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lit. (l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avea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următorul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cuprins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036D2" w:rsidRDefault="00CE1BBF">
      <w:pPr>
        <w:tabs>
          <w:tab w:val="left" w:pos="23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(l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Oprește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trafic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controlează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legii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conducătorii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autovehicule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tractoare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agricole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forestiere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 xml:space="preserve">care </w:t>
      </w:r>
      <w:proofErr w:type="spellStart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>transportă</w:t>
      </w:r>
      <w:proofErr w:type="spellEnd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 xml:space="preserve"> material </w:t>
      </w:r>
      <w:proofErr w:type="spellStart"/>
      <w:proofErr w:type="gramStart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>lemnos</w:t>
      </w:r>
      <w:proofErr w:type="spellEnd"/>
      <w:proofErr w:type="gramEnd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36D2" w:rsidRDefault="00CE1B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articolul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28,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(2) se introduce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(2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avea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următorul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cuprins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036D2" w:rsidRDefault="00CE1BBF">
      <w:pPr>
        <w:tabs>
          <w:tab w:val="left" w:pos="23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îndeplinirea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atribuţiilor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prevăzute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art. 19.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alin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(1) lit.l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personalul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militar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Jandarmeriei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participă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împreună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polițiștii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rutieri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vederea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constatării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contravenţiilor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aplicării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sancţiunilor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contravenţionale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cale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excepție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lipsa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polițiștilor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rutieri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jandarmii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constata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aplica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sancțiuni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contravenționale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in mod unilateral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potrivit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legii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D036D2" w:rsidRDefault="00D036D2">
      <w:pPr>
        <w:tabs>
          <w:tab w:val="left" w:pos="23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D2" w:rsidRDefault="00CE1BBF">
      <w:pPr>
        <w:pStyle w:val="Heading4"/>
        <w:shd w:val="clear" w:color="auto" w:fill="FFFFFF"/>
        <w:spacing w:before="0" w:after="0"/>
        <w:jc w:val="both"/>
      </w:pPr>
      <w:proofErr w:type="spellStart"/>
      <w:r>
        <w:t>Articolul</w:t>
      </w:r>
      <w:proofErr w:type="spellEnd"/>
      <w:r>
        <w:t xml:space="preserve"> II. </w:t>
      </w:r>
      <w:proofErr w:type="spellStart"/>
      <w:proofErr w:type="gram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195 din 12 </w:t>
      </w:r>
      <w:proofErr w:type="spellStart"/>
      <w:r>
        <w:t>decembrie</w:t>
      </w:r>
      <w:proofErr w:type="spellEnd"/>
      <w:r>
        <w:t xml:space="preserve"> 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circulaţia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drumurile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lastRenderedPageBreak/>
        <w:t>Partea</w:t>
      </w:r>
      <w:proofErr w:type="spellEnd"/>
      <w:r>
        <w:t xml:space="preserve"> I, nr.670 din 3 august 2006,</w:t>
      </w:r>
      <w:r>
        <w:rPr>
          <w:rFonts w:ascii="Calibri" w:eastAsia="Calibri" w:hAnsi="Calibri" w:cs="Calibri"/>
          <w:color w:val="333333"/>
        </w:rPr>
        <w:t xml:space="preserve"> </w:t>
      </w:r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se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D036D2" w:rsidRDefault="00D036D2">
      <w:pPr>
        <w:tabs>
          <w:tab w:val="left" w:pos="1500"/>
          <w:tab w:val="center" w:pos="468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D2" w:rsidRDefault="00CE1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articolul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29,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(2) se introduce un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avea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următorul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cuprins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036D2" w:rsidRDefault="00CE1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Participanţii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trafic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transportă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material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lemn</w:t>
      </w:r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>os</w:t>
      </w:r>
      <w:proofErr w:type="spellEnd"/>
      <w:proofErr w:type="gramEnd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>sunt</w:t>
      </w:r>
      <w:proofErr w:type="spellEnd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>obligaţi</w:t>
      </w:r>
      <w:proofErr w:type="spellEnd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>să</w:t>
      </w:r>
      <w:proofErr w:type="spellEnd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>respecte</w:t>
      </w:r>
      <w:proofErr w:type="spellEnd"/>
      <w:r w:rsidR="00BF08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semnalele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oprire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ofițerilor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subofițerilor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Jandarmeriei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aflaţi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îndeplinirea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atribuţiilor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serviciu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36D2" w:rsidRDefault="00D0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D2" w:rsidRDefault="00CE1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articolul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35,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(6) se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introduc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), (6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care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avea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următorul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cuprins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036D2" w:rsidRDefault="00D0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D2" w:rsidRDefault="00CE1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(6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exercitarea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atribuţiilor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care le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revin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ofițerii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subofițerii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Jandarmeriei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au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dreptul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opri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trafic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vehiculul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transportă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material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lemnos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verifice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proveniență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transport ale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încărcăturii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precum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identitatea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conducătorului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pasagerilor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aflaţi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interiorul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acestuia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atunci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există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indicii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despre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săvârşirea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unei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fapte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natură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contravenţională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penală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36D2" w:rsidRDefault="00CE1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(6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Ofițerii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subofițerii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Jandarmeriei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scopul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exercitării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atribuţiilor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control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specifice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efectuează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semnale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oprire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conducătorii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vehiculelor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transportă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material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lemnos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sunt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obligaţi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poarte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uniformă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înscrisuri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însemne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distinctive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mijloace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protecţie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fluorescent-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reflectorizante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36D2" w:rsidRDefault="00D03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D2" w:rsidRDefault="00CE1B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(6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Conducătorii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vehicule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transportă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material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lemnos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sunt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obligaţi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oprească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imediat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semnalele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efectuate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ofițerii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subofițerii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Jandarmeriei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prezinte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acestora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proveniență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transport ale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încărcăturii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6D2" w:rsidRDefault="00CE1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articolul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96,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(8) se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modifică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avea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următorul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cuprins</w:t>
      </w:r>
      <w:proofErr w:type="spellEnd"/>
    </w:p>
    <w:p w:rsidR="00D036D2" w:rsidRDefault="00CE1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(8)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Imobilizarea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vehicul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dispune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poliţistul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rutier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urmare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săvârşirii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conducătorul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acestuia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uneia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faptele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prevăzute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art.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(1),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precum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ofițerii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subofițerii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Jandarmeriei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aflaţi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îndeplinirea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atribuţiilor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săvârșirea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conducătorul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auto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fapt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prevăzute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art.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</w:p>
    <w:p w:rsidR="00D036D2" w:rsidRDefault="00D036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D2" w:rsidRDefault="00CE1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articolul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100,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(3) se introduce un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avea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următorul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cuprins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036D2" w:rsidRDefault="00D03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D2" w:rsidRDefault="00CE1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(3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VerdanaBold" w:eastAsia="VerdanaBold" w:hAnsi="VerdanaBold" w:cs="VerdanaBold"/>
          <w:b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Constituie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contravenţie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sancţionează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amenda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prevăzută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clasa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II-a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sancţiuni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aplicarea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sancţiunii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contravenţionale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complementare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imobilizării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vehiculului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nerespectarea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conducătorul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autovehicul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tractor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agricol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forestier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transportă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material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lemnos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semnalelor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oprire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ofițerilor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subofițerilor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Jandarmeriei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aflaţi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îndeplinirea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atribuţiilor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serviciu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neprezentarea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documentelor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solicitate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aceștia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36D2" w:rsidRDefault="00D036D2">
      <w:pPr>
        <w:jc w:val="both"/>
        <w:rPr>
          <w:rFonts w:ascii="VerdanaRegular" w:eastAsia="VerdanaRegular" w:hAnsi="VerdanaRegular" w:cs="VerdanaRegular"/>
          <w:sz w:val="21"/>
          <w:szCs w:val="21"/>
        </w:rPr>
      </w:pPr>
    </w:p>
    <w:p w:rsidR="00D036D2" w:rsidRDefault="00CE1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articolul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109,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(9) se introduce un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alineat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avea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următorul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cuprins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036D2" w:rsidRDefault="00D036D2">
      <w:pPr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D036D2" w:rsidRPr="00CE1BBF" w:rsidRDefault="00CE1BBF" w:rsidP="00CE1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(9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Constatarea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contravenţiilor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aplicarea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sancţiunilor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prevăzute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art.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). se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direct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poliţistul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rutier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lipsa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acestuia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ofițerii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subofițerii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Jandarmeriei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cazurile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prevazute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art.19 alin.(1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Arial Narrow" w:eastAsia="Arial Narrow" w:hAnsi="Arial Narrow" w:cs="Arial Narrow"/>
          <w:b/>
          <w:sz w:val="28"/>
          <w:szCs w:val="28"/>
        </w:rPr>
        <w:t>)</w:t>
      </w:r>
    </w:p>
    <w:p w:rsidR="00D036D2" w:rsidRDefault="00D036D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D2" w:rsidRDefault="00D036D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D2" w:rsidRDefault="00D036D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97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78"/>
        <w:gridCol w:w="4878"/>
      </w:tblGrid>
      <w:tr w:rsidR="00D036D2">
        <w:tc>
          <w:tcPr>
            <w:tcW w:w="4878" w:type="dxa"/>
          </w:tcPr>
          <w:p w:rsidR="00D036D2" w:rsidRDefault="00CE1B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Presedintele</w:t>
            </w:r>
            <w:proofErr w:type="spellEnd"/>
          </w:p>
          <w:p w:rsidR="00D036D2" w:rsidRDefault="00CE1B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Camerei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Deputaților</w:t>
            </w:r>
            <w:proofErr w:type="spellEnd"/>
          </w:p>
          <w:p w:rsidR="00D036D2" w:rsidRDefault="00D036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8" w:type="dxa"/>
          </w:tcPr>
          <w:p w:rsidR="00D036D2" w:rsidRDefault="00CE1B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Președintele</w:t>
            </w:r>
            <w:proofErr w:type="spellEnd"/>
          </w:p>
          <w:p w:rsidR="00D036D2" w:rsidRDefault="00CE1B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Senatului</w:t>
            </w:r>
            <w:proofErr w:type="spellEnd"/>
          </w:p>
          <w:p w:rsidR="00D036D2" w:rsidRDefault="00D036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36D2" w:rsidRDefault="00CE1B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Ludovic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ORBAN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DRAGU</w:t>
      </w:r>
    </w:p>
    <w:p w:rsidR="00D036D2" w:rsidRDefault="00D036D2">
      <w:pPr>
        <w:rPr>
          <w:rFonts w:ascii="Arial Narrow" w:eastAsia="Arial Narrow" w:hAnsi="Arial Narrow" w:cs="Arial Narrow"/>
          <w:b/>
          <w:sz w:val="28"/>
          <w:szCs w:val="28"/>
        </w:rPr>
      </w:pPr>
      <w:bookmarkStart w:id="1" w:name="_gjdgxs" w:colFirst="0" w:colLast="0"/>
      <w:bookmarkEnd w:id="1"/>
    </w:p>
    <w:p w:rsidR="00D036D2" w:rsidRDefault="00D036D2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D036D2" w:rsidRDefault="00D036D2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D036D2" w:rsidRDefault="00D036D2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D036D2" w:rsidRDefault="00D036D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036D2">
      <w:pgSz w:w="12240" w:h="15840"/>
      <w:pgMar w:top="1080" w:right="1170" w:bottom="720" w:left="126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Bold">
    <w:altName w:val="Times New Roman"/>
    <w:charset w:val="00"/>
    <w:family w:val="auto"/>
    <w:pitch w:val="default"/>
  </w:font>
  <w:font w:name="VerdanaRegula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77A1"/>
    <w:multiLevelType w:val="multilevel"/>
    <w:tmpl w:val="6480F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2F4B"/>
    <w:multiLevelType w:val="multilevel"/>
    <w:tmpl w:val="0B3EC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036D2"/>
    <w:rsid w:val="00BF0814"/>
    <w:rsid w:val="00CE1BBF"/>
    <w:rsid w:val="00D0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36"/>
      <w:szCs w:val="3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36"/>
      <w:szCs w:val="3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684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Giurgiu Adi</cp:lastModifiedBy>
  <cp:revision>3</cp:revision>
  <dcterms:created xsi:type="dcterms:W3CDTF">2021-05-25T07:35:00Z</dcterms:created>
  <dcterms:modified xsi:type="dcterms:W3CDTF">2021-05-26T07:26:00Z</dcterms:modified>
</cp:coreProperties>
</file>